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FB992" w14:textId="77777777" w:rsidR="00432C71" w:rsidRPr="00E951F4" w:rsidRDefault="00432C71" w:rsidP="00E951F4">
      <w:pPr>
        <w:pStyle w:val="NoSpacing"/>
        <w:contextualSpacing/>
        <w:jc w:val="center"/>
        <w:rPr>
          <w:b/>
          <w:sz w:val="26"/>
          <w:szCs w:val="26"/>
        </w:rPr>
      </w:pPr>
      <w:r w:rsidRPr="00E951F4">
        <w:rPr>
          <w:b/>
          <w:sz w:val="26"/>
          <w:szCs w:val="26"/>
        </w:rPr>
        <w:t xml:space="preserve">PENNSYLVANIA </w:t>
      </w:r>
    </w:p>
    <w:p w14:paraId="1C0EF86C" w14:textId="77777777" w:rsidR="00432C71" w:rsidRPr="00E951F4" w:rsidRDefault="00432C71" w:rsidP="00E951F4">
      <w:pPr>
        <w:pStyle w:val="NoSpacing"/>
        <w:contextualSpacing/>
        <w:jc w:val="center"/>
        <w:rPr>
          <w:b/>
          <w:sz w:val="26"/>
          <w:szCs w:val="26"/>
        </w:rPr>
      </w:pPr>
      <w:r w:rsidRPr="00E951F4">
        <w:rPr>
          <w:b/>
          <w:sz w:val="26"/>
          <w:szCs w:val="26"/>
        </w:rPr>
        <w:t>PUBLIC UT</w:t>
      </w:r>
      <w:r w:rsidR="00DF5285" w:rsidRPr="00E951F4">
        <w:rPr>
          <w:b/>
          <w:sz w:val="26"/>
          <w:szCs w:val="26"/>
        </w:rPr>
        <w:t>I</w:t>
      </w:r>
      <w:r w:rsidRPr="00E951F4">
        <w:rPr>
          <w:b/>
          <w:sz w:val="26"/>
          <w:szCs w:val="26"/>
        </w:rPr>
        <w:t>LITY COMMISSION</w:t>
      </w:r>
    </w:p>
    <w:p w14:paraId="055D0DAC" w14:textId="20F6735E" w:rsidR="00432C71" w:rsidRPr="00E951F4" w:rsidRDefault="00432C71" w:rsidP="00E951F4">
      <w:pPr>
        <w:pStyle w:val="NoSpacing"/>
        <w:contextualSpacing/>
        <w:jc w:val="center"/>
        <w:rPr>
          <w:b/>
          <w:sz w:val="26"/>
          <w:szCs w:val="26"/>
        </w:rPr>
      </w:pPr>
      <w:r w:rsidRPr="00E951F4">
        <w:rPr>
          <w:b/>
          <w:sz w:val="26"/>
          <w:szCs w:val="26"/>
        </w:rPr>
        <w:t>Harrisburg, PA 171</w:t>
      </w:r>
      <w:r w:rsidR="00A33E80" w:rsidRPr="00E951F4">
        <w:rPr>
          <w:b/>
          <w:sz w:val="26"/>
          <w:szCs w:val="26"/>
        </w:rPr>
        <w:t>20</w:t>
      </w:r>
    </w:p>
    <w:p w14:paraId="5DE22911" w14:textId="36528E35" w:rsidR="00BF7AE3" w:rsidRPr="00E951F4" w:rsidRDefault="00BF7AE3" w:rsidP="00E951F4">
      <w:pPr>
        <w:pStyle w:val="NoSpacing"/>
        <w:contextualSpacing/>
        <w:jc w:val="center"/>
        <w:rPr>
          <w:b/>
          <w:sz w:val="26"/>
          <w:szCs w:val="26"/>
        </w:rPr>
      </w:pPr>
    </w:p>
    <w:p w14:paraId="1826642B" w14:textId="77777777" w:rsidR="001953F3" w:rsidRPr="00E951F4" w:rsidRDefault="001953F3" w:rsidP="00E951F4">
      <w:pPr>
        <w:pStyle w:val="NoSpacing"/>
        <w:contextualSpacing/>
        <w:jc w:val="center"/>
        <w:rPr>
          <w:b/>
          <w:sz w:val="26"/>
          <w:szCs w:val="26"/>
        </w:rPr>
      </w:pPr>
    </w:p>
    <w:p w14:paraId="4751D6D4" w14:textId="6CA3AB87" w:rsidR="00BF7AE3" w:rsidRPr="00E951F4" w:rsidRDefault="00A33E80" w:rsidP="00E951F4">
      <w:pPr>
        <w:pStyle w:val="NoSpacing"/>
        <w:contextualSpacing/>
        <w:jc w:val="right"/>
        <w:rPr>
          <w:sz w:val="26"/>
          <w:szCs w:val="26"/>
        </w:rPr>
      </w:pPr>
      <w:r w:rsidRPr="00E951F4">
        <w:rPr>
          <w:sz w:val="26"/>
          <w:szCs w:val="26"/>
        </w:rPr>
        <w:t xml:space="preserve"> </w:t>
      </w:r>
      <w:r w:rsidR="00BF7AE3" w:rsidRPr="00E951F4">
        <w:rPr>
          <w:sz w:val="26"/>
          <w:szCs w:val="26"/>
        </w:rPr>
        <w:t xml:space="preserve">Public Meeting held </w:t>
      </w:r>
      <w:r w:rsidR="001B0C8A" w:rsidRPr="00E951F4">
        <w:rPr>
          <w:sz w:val="26"/>
          <w:szCs w:val="26"/>
        </w:rPr>
        <w:t>January 14</w:t>
      </w:r>
      <w:r w:rsidR="00BF7AE3" w:rsidRPr="00E951F4">
        <w:rPr>
          <w:sz w:val="26"/>
          <w:szCs w:val="26"/>
        </w:rPr>
        <w:t>, 20</w:t>
      </w:r>
      <w:r w:rsidRPr="00E951F4">
        <w:rPr>
          <w:sz w:val="26"/>
          <w:szCs w:val="26"/>
        </w:rPr>
        <w:t>2</w:t>
      </w:r>
      <w:r w:rsidR="001312B1" w:rsidRPr="00E951F4">
        <w:rPr>
          <w:sz w:val="26"/>
          <w:szCs w:val="26"/>
        </w:rPr>
        <w:t>1</w:t>
      </w:r>
    </w:p>
    <w:p w14:paraId="29AB621A" w14:textId="77777777" w:rsidR="00BF7AE3" w:rsidRPr="00E951F4" w:rsidRDefault="00BF7AE3" w:rsidP="00E951F4">
      <w:pPr>
        <w:pStyle w:val="NoSpacing"/>
        <w:contextualSpacing/>
        <w:jc w:val="right"/>
        <w:rPr>
          <w:sz w:val="26"/>
          <w:szCs w:val="26"/>
        </w:rPr>
      </w:pPr>
    </w:p>
    <w:p w14:paraId="2EDF462E" w14:textId="77777777" w:rsidR="006F7D6F" w:rsidRPr="00E951F4" w:rsidRDefault="006F7D6F" w:rsidP="00E951F4">
      <w:pPr>
        <w:pStyle w:val="NoSpacing"/>
        <w:contextualSpacing/>
        <w:jc w:val="right"/>
        <w:rPr>
          <w:sz w:val="26"/>
          <w:szCs w:val="26"/>
        </w:rPr>
      </w:pPr>
    </w:p>
    <w:p w14:paraId="78721E51" w14:textId="77777777" w:rsidR="00BF7AE3" w:rsidRPr="00E951F4" w:rsidRDefault="00BF7AE3" w:rsidP="00E951F4">
      <w:pPr>
        <w:widowControl/>
        <w:contextualSpacing/>
        <w:rPr>
          <w:sz w:val="26"/>
          <w:szCs w:val="26"/>
        </w:rPr>
      </w:pPr>
      <w:r w:rsidRPr="00E951F4">
        <w:rPr>
          <w:sz w:val="26"/>
          <w:szCs w:val="26"/>
        </w:rPr>
        <w:t>Commissioners Present:</w:t>
      </w:r>
    </w:p>
    <w:p w14:paraId="4D020B33" w14:textId="77777777" w:rsidR="00BF7AE3" w:rsidRPr="00E951F4" w:rsidRDefault="00BF7AE3" w:rsidP="00E951F4">
      <w:pPr>
        <w:widowControl/>
        <w:contextualSpacing/>
        <w:rPr>
          <w:sz w:val="26"/>
          <w:szCs w:val="26"/>
        </w:rPr>
      </w:pPr>
    </w:p>
    <w:p w14:paraId="0DDFB5DF" w14:textId="4E8F0FB9" w:rsidR="006F7D6F" w:rsidRPr="00E951F4" w:rsidRDefault="006F7D6F" w:rsidP="00E951F4">
      <w:pPr>
        <w:widowControl/>
        <w:contextualSpacing/>
        <w:rPr>
          <w:sz w:val="26"/>
          <w:szCs w:val="26"/>
        </w:rPr>
      </w:pPr>
    </w:p>
    <w:p w14:paraId="73CCFA9E" w14:textId="182F3195" w:rsidR="003531C8" w:rsidRPr="00E951F4" w:rsidRDefault="003531C8" w:rsidP="00E951F4">
      <w:pPr>
        <w:widowControl/>
        <w:tabs>
          <w:tab w:val="left" w:pos="705"/>
        </w:tabs>
        <w:ind w:left="720" w:right="-555"/>
        <w:contextualSpacing/>
        <w:rPr>
          <w:sz w:val="26"/>
          <w:szCs w:val="26"/>
        </w:rPr>
      </w:pPr>
      <w:r w:rsidRPr="00E951F4">
        <w:rPr>
          <w:sz w:val="26"/>
          <w:szCs w:val="26"/>
        </w:rPr>
        <w:t xml:space="preserve">Gladys Brown </w:t>
      </w:r>
      <w:proofErr w:type="spellStart"/>
      <w:r w:rsidRPr="00E951F4">
        <w:rPr>
          <w:sz w:val="26"/>
          <w:szCs w:val="26"/>
        </w:rPr>
        <w:t>Dutr</w:t>
      </w:r>
      <w:r w:rsidR="00AC3C62" w:rsidRPr="00E951F4">
        <w:rPr>
          <w:sz w:val="26"/>
          <w:szCs w:val="26"/>
        </w:rPr>
        <w:t>ie</w:t>
      </w:r>
      <w:r w:rsidRPr="00E951F4">
        <w:rPr>
          <w:sz w:val="26"/>
          <w:szCs w:val="26"/>
        </w:rPr>
        <w:t>uille</w:t>
      </w:r>
      <w:proofErr w:type="spellEnd"/>
      <w:r w:rsidRPr="00E951F4">
        <w:rPr>
          <w:sz w:val="26"/>
          <w:szCs w:val="26"/>
        </w:rPr>
        <w:t>, Chairman</w:t>
      </w:r>
      <w:r w:rsidR="00C068C7">
        <w:rPr>
          <w:sz w:val="26"/>
          <w:szCs w:val="26"/>
        </w:rPr>
        <w:t>, Statement</w:t>
      </w:r>
    </w:p>
    <w:p w14:paraId="19B77BEF" w14:textId="77777777" w:rsidR="003531C8" w:rsidRPr="00E951F4" w:rsidRDefault="003531C8" w:rsidP="00E951F4">
      <w:pPr>
        <w:widowControl/>
        <w:tabs>
          <w:tab w:val="left" w:pos="705"/>
        </w:tabs>
        <w:ind w:left="720"/>
        <w:contextualSpacing/>
        <w:rPr>
          <w:sz w:val="26"/>
          <w:szCs w:val="26"/>
        </w:rPr>
      </w:pPr>
      <w:r w:rsidRPr="00E951F4">
        <w:rPr>
          <w:sz w:val="26"/>
          <w:szCs w:val="26"/>
        </w:rPr>
        <w:t>David W. Sweet, Vice Chairman</w:t>
      </w:r>
    </w:p>
    <w:p w14:paraId="2F1A2F1B" w14:textId="77777777" w:rsidR="003531C8" w:rsidRPr="00E951F4" w:rsidRDefault="003531C8" w:rsidP="00E951F4">
      <w:pPr>
        <w:widowControl/>
        <w:tabs>
          <w:tab w:val="left" w:pos="705"/>
        </w:tabs>
        <w:ind w:left="720"/>
        <w:contextualSpacing/>
        <w:rPr>
          <w:sz w:val="26"/>
          <w:szCs w:val="26"/>
        </w:rPr>
      </w:pPr>
      <w:r w:rsidRPr="00E951F4">
        <w:rPr>
          <w:sz w:val="26"/>
          <w:szCs w:val="26"/>
        </w:rPr>
        <w:t>John F. Coleman, Jr.</w:t>
      </w:r>
    </w:p>
    <w:p w14:paraId="1A8DE9E4" w14:textId="77777777" w:rsidR="003531C8" w:rsidRPr="00E951F4" w:rsidRDefault="003531C8" w:rsidP="00E951F4">
      <w:pPr>
        <w:widowControl/>
        <w:tabs>
          <w:tab w:val="left" w:pos="705"/>
        </w:tabs>
        <w:ind w:left="720"/>
        <w:contextualSpacing/>
        <w:rPr>
          <w:sz w:val="26"/>
          <w:szCs w:val="26"/>
        </w:rPr>
      </w:pPr>
      <w:r w:rsidRPr="00E951F4">
        <w:rPr>
          <w:sz w:val="26"/>
          <w:szCs w:val="26"/>
        </w:rPr>
        <w:t>Ralph V. Yanora</w:t>
      </w:r>
    </w:p>
    <w:p w14:paraId="615AFD34" w14:textId="77777777" w:rsidR="00A33E80" w:rsidRPr="00E951F4" w:rsidRDefault="00A33E80" w:rsidP="00E951F4">
      <w:pPr>
        <w:widowControl/>
        <w:contextualSpacing/>
        <w:rPr>
          <w:sz w:val="26"/>
          <w:szCs w:val="26"/>
        </w:rPr>
      </w:pPr>
    </w:p>
    <w:p w14:paraId="5A50EE52" w14:textId="77777777" w:rsidR="006F7D6F" w:rsidRPr="00E951F4" w:rsidRDefault="006F7D6F" w:rsidP="00E951F4">
      <w:pPr>
        <w:widowControl/>
        <w:contextualSpacing/>
        <w:rPr>
          <w:sz w:val="26"/>
          <w:szCs w:val="26"/>
        </w:rPr>
      </w:pPr>
    </w:p>
    <w:p w14:paraId="6DD3B679" w14:textId="77777777" w:rsidR="00BF7AE3" w:rsidRPr="00E951F4" w:rsidRDefault="00BF7AE3" w:rsidP="00E951F4">
      <w:pPr>
        <w:widowControl/>
        <w:contextualSpacing/>
        <w:rPr>
          <w:sz w:val="26"/>
          <w:szCs w:val="26"/>
        </w:rPr>
      </w:pPr>
    </w:p>
    <w:p w14:paraId="6E0C355E" w14:textId="10E97FC7" w:rsidR="00BF7AE3" w:rsidRPr="00E951F4" w:rsidRDefault="00BF7AE3" w:rsidP="00E951F4">
      <w:pPr>
        <w:widowControl/>
        <w:contextualSpacing/>
        <w:rPr>
          <w:sz w:val="26"/>
          <w:szCs w:val="26"/>
        </w:rPr>
      </w:pPr>
      <w:r w:rsidRPr="00E951F4">
        <w:rPr>
          <w:sz w:val="26"/>
          <w:szCs w:val="26"/>
        </w:rPr>
        <w:t xml:space="preserve">Petition of </w:t>
      </w:r>
      <w:r w:rsidR="00D675B0" w:rsidRPr="00E951F4">
        <w:rPr>
          <w:sz w:val="26"/>
          <w:szCs w:val="26"/>
        </w:rPr>
        <w:t>Duquesne Light</w:t>
      </w:r>
      <w:r w:rsidRPr="00E951F4">
        <w:rPr>
          <w:sz w:val="26"/>
          <w:szCs w:val="26"/>
        </w:rPr>
        <w:t xml:space="preserve"> Company for </w:t>
      </w:r>
      <w:r w:rsidRPr="00E951F4">
        <w:rPr>
          <w:sz w:val="26"/>
          <w:szCs w:val="26"/>
        </w:rPr>
        <w:tab/>
      </w:r>
      <w:r w:rsidRPr="00E951F4">
        <w:rPr>
          <w:sz w:val="26"/>
          <w:szCs w:val="26"/>
        </w:rPr>
        <w:tab/>
      </w:r>
      <w:r w:rsidRPr="00E951F4">
        <w:rPr>
          <w:sz w:val="26"/>
          <w:szCs w:val="26"/>
        </w:rPr>
        <w:tab/>
      </w:r>
      <w:r w:rsidRPr="00E951F4">
        <w:rPr>
          <w:sz w:val="26"/>
          <w:szCs w:val="26"/>
        </w:rPr>
        <w:tab/>
        <w:t xml:space="preserve">      P-20</w:t>
      </w:r>
      <w:r w:rsidR="00621405" w:rsidRPr="00E951F4">
        <w:rPr>
          <w:sz w:val="26"/>
          <w:szCs w:val="26"/>
        </w:rPr>
        <w:t>20</w:t>
      </w:r>
      <w:r w:rsidRPr="00E951F4">
        <w:rPr>
          <w:sz w:val="26"/>
          <w:szCs w:val="26"/>
        </w:rPr>
        <w:t>-</w:t>
      </w:r>
      <w:r w:rsidR="009C0C5B" w:rsidRPr="00E951F4">
        <w:rPr>
          <w:sz w:val="26"/>
          <w:szCs w:val="26"/>
        </w:rPr>
        <w:t>301</w:t>
      </w:r>
      <w:r w:rsidR="0083721B" w:rsidRPr="00E951F4">
        <w:rPr>
          <w:sz w:val="26"/>
          <w:szCs w:val="26"/>
        </w:rPr>
        <w:t>9522</w:t>
      </w:r>
    </w:p>
    <w:p w14:paraId="65684943" w14:textId="32E71B2F" w:rsidR="008077D8" w:rsidRPr="00E951F4" w:rsidRDefault="00BF7AE3" w:rsidP="00E951F4">
      <w:pPr>
        <w:widowControl/>
        <w:contextualSpacing/>
        <w:rPr>
          <w:sz w:val="26"/>
          <w:szCs w:val="26"/>
        </w:rPr>
      </w:pPr>
      <w:r w:rsidRPr="00E951F4">
        <w:rPr>
          <w:sz w:val="26"/>
          <w:szCs w:val="26"/>
        </w:rPr>
        <w:t>Approval of its Default Service P</w:t>
      </w:r>
      <w:r w:rsidR="00D675B0" w:rsidRPr="00E951F4">
        <w:rPr>
          <w:sz w:val="26"/>
          <w:szCs w:val="26"/>
        </w:rPr>
        <w:t>lan</w:t>
      </w:r>
    </w:p>
    <w:p w14:paraId="6CCF81C1" w14:textId="7BB9F69A" w:rsidR="008077D8" w:rsidRPr="00E951F4" w:rsidRDefault="00BF7AE3" w:rsidP="00E951F4">
      <w:pPr>
        <w:widowControl/>
        <w:contextualSpacing/>
        <w:rPr>
          <w:sz w:val="26"/>
          <w:szCs w:val="26"/>
        </w:rPr>
      </w:pPr>
      <w:r w:rsidRPr="00E951F4">
        <w:rPr>
          <w:sz w:val="26"/>
          <w:szCs w:val="26"/>
        </w:rPr>
        <w:t>for the</w:t>
      </w:r>
      <w:r w:rsidR="008077D8" w:rsidRPr="00E951F4">
        <w:rPr>
          <w:sz w:val="26"/>
          <w:szCs w:val="26"/>
        </w:rPr>
        <w:t xml:space="preserve"> </w:t>
      </w:r>
      <w:r w:rsidRPr="00E951F4">
        <w:rPr>
          <w:sz w:val="26"/>
          <w:szCs w:val="26"/>
        </w:rPr>
        <w:t>Period from June 1, 20</w:t>
      </w:r>
      <w:r w:rsidR="00621405" w:rsidRPr="00E951F4">
        <w:rPr>
          <w:sz w:val="26"/>
          <w:szCs w:val="26"/>
        </w:rPr>
        <w:t>21</w:t>
      </w:r>
      <w:r w:rsidRPr="00E951F4">
        <w:rPr>
          <w:sz w:val="26"/>
          <w:szCs w:val="26"/>
        </w:rPr>
        <w:t xml:space="preserve"> through </w:t>
      </w:r>
    </w:p>
    <w:p w14:paraId="6FB1B0F6" w14:textId="4AF1371F" w:rsidR="00BF7AE3" w:rsidRPr="00E951F4" w:rsidRDefault="00BF7AE3" w:rsidP="00E951F4">
      <w:pPr>
        <w:widowControl/>
        <w:contextualSpacing/>
        <w:rPr>
          <w:sz w:val="26"/>
          <w:szCs w:val="26"/>
        </w:rPr>
      </w:pPr>
      <w:r w:rsidRPr="00E951F4">
        <w:rPr>
          <w:sz w:val="26"/>
          <w:szCs w:val="26"/>
        </w:rPr>
        <w:t>May 31, 202</w:t>
      </w:r>
      <w:r w:rsidR="00621405" w:rsidRPr="00E951F4">
        <w:rPr>
          <w:sz w:val="26"/>
          <w:szCs w:val="26"/>
        </w:rPr>
        <w:t>5</w:t>
      </w:r>
    </w:p>
    <w:p w14:paraId="0EDEC448" w14:textId="77777777" w:rsidR="00BF7AE3" w:rsidRPr="00E951F4" w:rsidRDefault="00BF7AE3" w:rsidP="00E951F4">
      <w:pPr>
        <w:pStyle w:val="ListParagraph"/>
        <w:ind w:left="0"/>
        <w:contextualSpacing/>
        <w:rPr>
          <w:b/>
          <w:sz w:val="26"/>
          <w:szCs w:val="26"/>
        </w:rPr>
      </w:pPr>
    </w:p>
    <w:p w14:paraId="131CBBD3" w14:textId="77777777" w:rsidR="00BF7AE3" w:rsidRPr="00E951F4" w:rsidRDefault="00BF7AE3" w:rsidP="00E951F4">
      <w:pPr>
        <w:pStyle w:val="ListParagraph"/>
        <w:ind w:left="0"/>
        <w:contextualSpacing/>
        <w:rPr>
          <w:b/>
          <w:sz w:val="26"/>
          <w:szCs w:val="26"/>
        </w:rPr>
      </w:pPr>
    </w:p>
    <w:p w14:paraId="505E53EF" w14:textId="77777777" w:rsidR="006F7D6F" w:rsidRPr="00E951F4" w:rsidRDefault="006F7D6F" w:rsidP="00E951F4">
      <w:pPr>
        <w:pStyle w:val="ListParagraph"/>
        <w:ind w:left="0"/>
        <w:contextualSpacing/>
        <w:rPr>
          <w:b/>
          <w:sz w:val="26"/>
          <w:szCs w:val="26"/>
        </w:rPr>
      </w:pPr>
    </w:p>
    <w:p w14:paraId="4DC6E033" w14:textId="77777777" w:rsidR="006F7D6F" w:rsidRPr="00E951F4" w:rsidRDefault="006F7D6F" w:rsidP="00E951F4">
      <w:pPr>
        <w:pStyle w:val="ListParagraph"/>
        <w:ind w:left="0"/>
        <w:contextualSpacing/>
        <w:rPr>
          <w:b/>
          <w:sz w:val="26"/>
          <w:szCs w:val="26"/>
        </w:rPr>
      </w:pPr>
    </w:p>
    <w:p w14:paraId="6193DF57" w14:textId="77777777" w:rsidR="006F7D6F" w:rsidRPr="00E951F4" w:rsidRDefault="006F7D6F" w:rsidP="00E951F4">
      <w:pPr>
        <w:pStyle w:val="ListParagraph"/>
        <w:ind w:left="0"/>
        <w:contextualSpacing/>
        <w:rPr>
          <w:b/>
          <w:sz w:val="26"/>
          <w:szCs w:val="26"/>
        </w:rPr>
      </w:pPr>
    </w:p>
    <w:p w14:paraId="00EBEC25" w14:textId="77777777" w:rsidR="006F7D6F" w:rsidRPr="00E951F4" w:rsidRDefault="006F7D6F" w:rsidP="00E951F4">
      <w:pPr>
        <w:pStyle w:val="ListParagraph"/>
        <w:ind w:left="0"/>
        <w:contextualSpacing/>
        <w:rPr>
          <w:b/>
          <w:sz w:val="26"/>
          <w:szCs w:val="26"/>
        </w:rPr>
      </w:pPr>
    </w:p>
    <w:p w14:paraId="4B75FE7C" w14:textId="77777777" w:rsidR="00432C71" w:rsidRPr="00E951F4" w:rsidRDefault="00432C71" w:rsidP="00E951F4">
      <w:pPr>
        <w:pStyle w:val="ListParagraph"/>
        <w:ind w:left="0"/>
        <w:contextualSpacing/>
        <w:jc w:val="center"/>
        <w:rPr>
          <w:b/>
          <w:sz w:val="26"/>
          <w:szCs w:val="26"/>
        </w:rPr>
      </w:pPr>
      <w:r w:rsidRPr="00E951F4">
        <w:rPr>
          <w:b/>
          <w:sz w:val="26"/>
          <w:szCs w:val="26"/>
        </w:rPr>
        <w:t>OPINION AND ORDER</w:t>
      </w:r>
    </w:p>
    <w:p w14:paraId="08B0C4A0" w14:textId="77777777" w:rsidR="00432C71" w:rsidRPr="00E951F4" w:rsidRDefault="00432C71" w:rsidP="00E951F4">
      <w:pPr>
        <w:pStyle w:val="ListParagraph"/>
        <w:ind w:left="0"/>
        <w:contextualSpacing/>
        <w:jc w:val="center"/>
        <w:rPr>
          <w:sz w:val="26"/>
          <w:szCs w:val="26"/>
        </w:rPr>
      </w:pPr>
    </w:p>
    <w:p w14:paraId="0073DEFC" w14:textId="77777777" w:rsidR="00BF7AE3" w:rsidRPr="00E951F4" w:rsidRDefault="00BF7AE3" w:rsidP="00E951F4">
      <w:pPr>
        <w:pStyle w:val="ListParagraph"/>
        <w:ind w:left="0"/>
        <w:contextualSpacing/>
        <w:jc w:val="center"/>
        <w:rPr>
          <w:sz w:val="26"/>
          <w:szCs w:val="26"/>
        </w:rPr>
      </w:pPr>
    </w:p>
    <w:p w14:paraId="783E0724" w14:textId="77777777" w:rsidR="007E1594" w:rsidRPr="00E951F4" w:rsidRDefault="007E1594" w:rsidP="00E951F4">
      <w:pPr>
        <w:pStyle w:val="ListParagraph"/>
        <w:ind w:left="0"/>
        <w:contextualSpacing/>
        <w:rPr>
          <w:b/>
          <w:sz w:val="26"/>
          <w:szCs w:val="26"/>
        </w:rPr>
        <w:sectPr w:rsidR="007E1594" w:rsidRPr="00E951F4" w:rsidSect="002179E4">
          <w:footerReference w:type="default" r:id="rId8"/>
          <w:pgSz w:w="12240" w:h="15840"/>
          <w:pgMar w:top="1440" w:right="1440" w:bottom="1440" w:left="1440" w:header="720" w:footer="720" w:gutter="0"/>
          <w:cols w:space="720"/>
          <w:titlePg/>
          <w:docGrid w:linePitch="360"/>
        </w:sectPr>
      </w:pPr>
    </w:p>
    <w:p w14:paraId="27F1CD92" w14:textId="0C9113D0" w:rsidR="00BA2538" w:rsidRPr="00E951F4" w:rsidRDefault="00C47B6F" w:rsidP="00E951F4">
      <w:pPr>
        <w:pStyle w:val="ListParagraph"/>
        <w:ind w:left="0"/>
        <w:contextualSpacing/>
        <w:jc w:val="center"/>
        <w:rPr>
          <w:b/>
          <w:sz w:val="26"/>
          <w:szCs w:val="26"/>
        </w:rPr>
      </w:pPr>
      <w:r w:rsidRPr="00E951F4">
        <w:rPr>
          <w:b/>
          <w:sz w:val="26"/>
          <w:szCs w:val="26"/>
        </w:rPr>
        <w:lastRenderedPageBreak/>
        <w:t>Table of Contents</w:t>
      </w:r>
    </w:p>
    <w:sdt>
      <w:sdtPr>
        <w:rPr>
          <w:rFonts w:ascii="Times New Roman" w:eastAsia="Times New Roman" w:hAnsi="Times New Roman" w:cs="Times New Roman"/>
          <w:caps w:val="0"/>
          <w:color w:val="auto"/>
          <w:sz w:val="26"/>
          <w:szCs w:val="20"/>
        </w:rPr>
        <w:id w:val="2117016880"/>
        <w:docPartObj>
          <w:docPartGallery w:val="Table of Contents"/>
          <w:docPartUnique/>
        </w:docPartObj>
      </w:sdtPr>
      <w:sdtEndPr>
        <w:rPr>
          <w:b/>
          <w:bCs/>
          <w:noProof/>
        </w:rPr>
      </w:sdtEndPr>
      <w:sdtContent>
        <w:p w14:paraId="7CA8A797" w14:textId="354D9BD0" w:rsidR="005E58E1" w:rsidRPr="00E951F4" w:rsidRDefault="005E58E1" w:rsidP="00E951F4">
          <w:pPr>
            <w:pStyle w:val="TOCHeading"/>
            <w:numPr>
              <w:ilvl w:val="0"/>
              <w:numId w:val="0"/>
            </w:numPr>
            <w:ind w:left="720"/>
            <w:rPr>
              <w:rFonts w:ascii="Times New Roman" w:hAnsi="Times New Roman" w:cs="Times New Roman"/>
              <w:sz w:val="26"/>
            </w:rPr>
          </w:pPr>
        </w:p>
        <w:p w14:paraId="34F69BF7" w14:textId="2FBCBFAF" w:rsidR="00984D79" w:rsidRPr="00984D79" w:rsidRDefault="005E58E1">
          <w:pPr>
            <w:pStyle w:val="TOC1"/>
            <w:rPr>
              <w:rFonts w:asciiTheme="minorHAnsi" w:eastAsiaTheme="minorEastAsia" w:hAnsiTheme="minorHAnsi" w:cstheme="minorBidi"/>
              <w:noProof/>
              <w:sz w:val="26"/>
              <w:szCs w:val="26"/>
            </w:rPr>
          </w:pPr>
          <w:r w:rsidRPr="00E951F4">
            <w:rPr>
              <w:sz w:val="26"/>
              <w:szCs w:val="26"/>
            </w:rPr>
            <w:fldChar w:fldCharType="begin"/>
          </w:r>
          <w:r w:rsidRPr="00E951F4">
            <w:rPr>
              <w:sz w:val="26"/>
              <w:szCs w:val="26"/>
            </w:rPr>
            <w:instrText xml:space="preserve"> TOC \o "1-3" \h \z \u </w:instrText>
          </w:r>
          <w:r w:rsidRPr="00E951F4">
            <w:rPr>
              <w:sz w:val="26"/>
              <w:szCs w:val="26"/>
            </w:rPr>
            <w:fldChar w:fldCharType="separate"/>
          </w:r>
          <w:hyperlink w:anchor="_Toc60912013" w:history="1">
            <w:r w:rsidR="00984D79" w:rsidRPr="00984D79">
              <w:rPr>
                <w:rStyle w:val="Hyperlink"/>
                <w:noProof/>
                <w:sz w:val="26"/>
                <w:szCs w:val="26"/>
              </w:rPr>
              <w:t>I.</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Background</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_Toc60912013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1</w:t>
            </w:r>
            <w:r w:rsidR="00984D79" w:rsidRPr="00984D79">
              <w:rPr>
                <w:noProof/>
                <w:webHidden/>
                <w:sz w:val="26"/>
                <w:szCs w:val="26"/>
              </w:rPr>
              <w:fldChar w:fldCharType="end"/>
            </w:r>
          </w:hyperlink>
        </w:p>
        <w:p w14:paraId="73CA333C" w14:textId="7DB7E815" w:rsidR="00984D79" w:rsidRPr="00984D79" w:rsidRDefault="00AA00FA">
          <w:pPr>
            <w:pStyle w:val="TOC1"/>
            <w:rPr>
              <w:rFonts w:asciiTheme="minorHAnsi" w:eastAsiaTheme="minorEastAsia" w:hAnsiTheme="minorHAnsi" w:cstheme="minorBidi"/>
              <w:noProof/>
              <w:sz w:val="26"/>
              <w:szCs w:val="26"/>
            </w:rPr>
          </w:pPr>
          <w:hyperlink w:anchor="_Toc60912014" w:history="1">
            <w:r w:rsidR="00984D79" w:rsidRPr="00984D79">
              <w:rPr>
                <w:rStyle w:val="Hyperlink"/>
                <w:caps/>
                <w:noProof/>
                <w:sz w:val="26"/>
                <w:szCs w:val="26"/>
              </w:rPr>
              <w:t>II.</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History of the Proceeding</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_Toc60912014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w:t>
            </w:r>
            <w:r w:rsidR="00984D79" w:rsidRPr="00984D79">
              <w:rPr>
                <w:noProof/>
                <w:webHidden/>
                <w:sz w:val="26"/>
                <w:szCs w:val="26"/>
              </w:rPr>
              <w:fldChar w:fldCharType="end"/>
            </w:r>
          </w:hyperlink>
        </w:p>
        <w:p w14:paraId="2F1C8334" w14:textId="5D8371B6" w:rsidR="00984D79" w:rsidRPr="00984D79" w:rsidRDefault="00AA00FA">
          <w:pPr>
            <w:pStyle w:val="TOC1"/>
            <w:rPr>
              <w:rFonts w:asciiTheme="minorHAnsi" w:eastAsiaTheme="minorEastAsia" w:hAnsiTheme="minorHAnsi" w:cstheme="minorBidi"/>
              <w:noProof/>
              <w:sz w:val="26"/>
              <w:szCs w:val="26"/>
            </w:rPr>
          </w:pPr>
          <w:hyperlink w:anchor="_Toc60912015" w:history="1">
            <w:r w:rsidR="00984D79" w:rsidRPr="00984D79">
              <w:rPr>
                <w:rStyle w:val="Hyperlink"/>
                <w:noProof/>
                <w:sz w:val="26"/>
                <w:szCs w:val="26"/>
              </w:rPr>
              <w:t>III.</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Legal Standards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_Toc60912015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6</w:t>
            </w:r>
            <w:r w:rsidR="00984D79" w:rsidRPr="00984D79">
              <w:rPr>
                <w:noProof/>
                <w:webHidden/>
                <w:sz w:val="26"/>
                <w:szCs w:val="26"/>
              </w:rPr>
              <w:fldChar w:fldCharType="end"/>
            </w:r>
          </w:hyperlink>
        </w:p>
        <w:p w14:paraId="73E225D9" w14:textId="53C0D348" w:rsidR="00984D79" w:rsidRPr="00984D79" w:rsidRDefault="00AA00FA">
          <w:pPr>
            <w:pStyle w:val="TOC1"/>
            <w:rPr>
              <w:rFonts w:asciiTheme="minorHAnsi" w:eastAsiaTheme="minorEastAsia" w:hAnsiTheme="minorHAnsi" w:cstheme="minorBidi"/>
              <w:noProof/>
              <w:sz w:val="26"/>
              <w:szCs w:val="26"/>
            </w:rPr>
          </w:pPr>
          <w:hyperlink w:anchor="_Toc60912016" w:history="1">
            <w:r w:rsidR="00984D79" w:rsidRPr="00984D79">
              <w:rPr>
                <w:rStyle w:val="Hyperlink"/>
                <w:noProof/>
                <w:sz w:val="26"/>
                <w:szCs w:val="26"/>
              </w:rPr>
              <w:t>IV.</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The Partial Settlement</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_Toc60912016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10</w:t>
            </w:r>
            <w:r w:rsidR="00984D79" w:rsidRPr="00984D79">
              <w:rPr>
                <w:noProof/>
                <w:webHidden/>
                <w:sz w:val="26"/>
                <w:szCs w:val="26"/>
              </w:rPr>
              <w:fldChar w:fldCharType="end"/>
            </w:r>
          </w:hyperlink>
        </w:p>
        <w:p w14:paraId="45D2EC5E" w14:textId="39135A8B" w:rsidR="00984D79" w:rsidRPr="00984D79" w:rsidRDefault="00AA00FA">
          <w:pPr>
            <w:pStyle w:val="TOC2"/>
            <w:rPr>
              <w:rFonts w:asciiTheme="minorHAnsi" w:eastAsiaTheme="minorEastAsia" w:hAnsiTheme="minorHAnsi" w:cstheme="minorBidi"/>
              <w:noProof/>
              <w:sz w:val="26"/>
              <w:szCs w:val="26"/>
            </w:rPr>
          </w:pPr>
          <w:hyperlink w:anchor="_Toc60912017" w:history="1">
            <w:r w:rsidR="00984D79" w:rsidRPr="00984D79">
              <w:rPr>
                <w:rStyle w:val="Hyperlink"/>
                <w:noProof/>
                <w:sz w:val="26"/>
                <w:szCs w:val="26"/>
              </w:rPr>
              <w:t>A.</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Terms and Conditions of the Partial Settlement</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_Toc60912017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10</w:t>
            </w:r>
            <w:r w:rsidR="00984D79" w:rsidRPr="00984D79">
              <w:rPr>
                <w:noProof/>
                <w:webHidden/>
                <w:sz w:val="26"/>
                <w:szCs w:val="26"/>
              </w:rPr>
              <w:fldChar w:fldCharType="end"/>
            </w:r>
          </w:hyperlink>
        </w:p>
        <w:p w14:paraId="47C2B9C6" w14:textId="6DE71D7C" w:rsidR="00984D79" w:rsidRPr="00984D79" w:rsidRDefault="00AA00FA">
          <w:pPr>
            <w:pStyle w:val="TOC3"/>
            <w:rPr>
              <w:rFonts w:asciiTheme="minorHAnsi" w:eastAsiaTheme="minorEastAsia" w:hAnsiTheme="minorHAnsi" w:cstheme="minorBidi"/>
              <w:noProof/>
              <w:sz w:val="26"/>
              <w:szCs w:val="26"/>
            </w:rPr>
          </w:pPr>
          <w:hyperlink w:anchor="_Toc60912018" w:history="1">
            <w:r w:rsidR="00984D79" w:rsidRPr="00984D79">
              <w:rPr>
                <w:rStyle w:val="Hyperlink"/>
                <w:noProof/>
                <w:sz w:val="26"/>
                <w:szCs w:val="26"/>
              </w:rPr>
              <w:t>1.</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Program Term</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_Toc60912018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11</w:t>
            </w:r>
            <w:r w:rsidR="00984D79" w:rsidRPr="00984D79">
              <w:rPr>
                <w:noProof/>
                <w:webHidden/>
                <w:sz w:val="26"/>
                <w:szCs w:val="26"/>
              </w:rPr>
              <w:fldChar w:fldCharType="end"/>
            </w:r>
          </w:hyperlink>
        </w:p>
        <w:p w14:paraId="145DC2CA" w14:textId="4B116E22" w:rsidR="00984D79" w:rsidRPr="00984D79" w:rsidRDefault="00AA00FA">
          <w:pPr>
            <w:pStyle w:val="TOC3"/>
            <w:rPr>
              <w:rFonts w:asciiTheme="minorHAnsi" w:eastAsiaTheme="minorEastAsia" w:hAnsiTheme="minorHAnsi" w:cstheme="minorBidi"/>
              <w:noProof/>
              <w:sz w:val="26"/>
              <w:szCs w:val="26"/>
            </w:rPr>
          </w:pPr>
          <w:hyperlink w:anchor="_Toc60912019" w:history="1">
            <w:r w:rsidR="00984D79" w:rsidRPr="00984D79">
              <w:rPr>
                <w:rStyle w:val="Hyperlink"/>
                <w:noProof/>
                <w:sz w:val="26"/>
                <w:szCs w:val="26"/>
              </w:rPr>
              <w:t>2.</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Procurement Plans and Rates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_Toc60912019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12</w:t>
            </w:r>
            <w:r w:rsidR="00984D79" w:rsidRPr="00984D79">
              <w:rPr>
                <w:noProof/>
                <w:webHidden/>
                <w:sz w:val="26"/>
                <w:szCs w:val="26"/>
              </w:rPr>
              <w:fldChar w:fldCharType="end"/>
            </w:r>
          </w:hyperlink>
        </w:p>
        <w:p w14:paraId="6C067B66" w14:textId="74DA6D97" w:rsidR="00984D79" w:rsidRPr="00984D79" w:rsidRDefault="00AA00FA">
          <w:pPr>
            <w:pStyle w:val="TOC3"/>
            <w:rPr>
              <w:rFonts w:asciiTheme="minorHAnsi" w:eastAsiaTheme="minorEastAsia" w:hAnsiTheme="minorHAnsi" w:cstheme="minorBidi"/>
              <w:noProof/>
              <w:sz w:val="26"/>
              <w:szCs w:val="26"/>
            </w:rPr>
          </w:pPr>
          <w:hyperlink w:anchor="_Toc60912020" w:history="1">
            <w:r w:rsidR="00984D79" w:rsidRPr="00984D79">
              <w:rPr>
                <w:rStyle w:val="Hyperlink"/>
                <w:noProof/>
                <w:sz w:val="26"/>
                <w:szCs w:val="26"/>
              </w:rPr>
              <w:t>3.</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Purchase of Receivables (POR)</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_Toc60912020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20</w:t>
            </w:r>
            <w:r w:rsidR="00984D79" w:rsidRPr="00984D79">
              <w:rPr>
                <w:noProof/>
                <w:webHidden/>
                <w:sz w:val="26"/>
                <w:szCs w:val="26"/>
              </w:rPr>
              <w:fldChar w:fldCharType="end"/>
            </w:r>
          </w:hyperlink>
        </w:p>
        <w:p w14:paraId="4FB8E4DA" w14:textId="6861A0EA" w:rsidR="00984D79" w:rsidRPr="00984D79" w:rsidRDefault="00AA00FA">
          <w:pPr>
            <w:pStyle w:val="TOC3"/>
            <w:rPr>
              <w:rFonts w:asciiTheme="minorHAnsi" w:eastAsiaTheme="minorEastAsia" w:hAnsiTheme="minorHAnsi" w:cstheme="minorBidi"/>
              <w:noProof/>
              <w:sz w:val="26"/>
              <w:szCs w:val="26"/>
            </w:rPr>
          </w:pPr>
          <w:hyperlink w:anchor="_Toc60912021" w:history="1">
            <w:r w:rsidR="00984D79" w:rsidRPr="00984D79">
              <w:rPr>
                <w:rStyle w:val="Hyperlink"/>
                <w:noProof/>
                <w:sz w:val="26"/>
                <w:szCs w:val="26"/>
              </w:rPr>
              <w:t>4.</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Recovery of Net-Metered Excess Generation Costs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_Toc60912021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21</w:t>
            </w:r>
            <w:r w:rsidR="00984D79" w:rsidRPr="00984D79">
              <w:rPr>
                <w:noProof/>
                <w:webHidden/>
                <w:sz w:val="26"/>
                <w:szCs w:val="26"/>
              </w:rPr>
              <w:fldChar w:fldCharType="end"/>
            </w:r>
          </w:hyperlink>
        </w:p>
        <w:p w14:paraId="03304F26" w14:textId="31BFB9B3" w:rsidR="00984D79" w:rsidRPr="00984D79" w:rsidRDefault="00AA00FA">
          <w:pPr>
            <w:pStyle w:val="TOC3"/>
            <w:rPr>
              <w:rFonts w:asciiTheme="minorHAnsi" w:eastAsiaTheme="minorEastAsia" w:hAnsiTheme="minorHAnsi" w:cstheme="minorBidi"/>
              <w:noProof/>
              <w:sz w:val="26"/>
              <w:szCs w:val="26"/>
            </w:rPr>
          </w:pPr>
          <w:hyperlink w:anchor="_Toc60912022" w:history="1">
            <w:r w:rsidR="00984D79" w:rsidRPr="00984D79">
              <w:rPr>
                <w:rStyle w:val="Hyperlink"/>
                <w:noProof/>
                <w:sz w:val="26"/>
                <w:szCs w:val="26"/>
              </w:rPr>
              <w:t>5.</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Bill Redesign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_Toc60912022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22</w:t>
            </w:r>
            <w:r w:rsidR="00984D79" w:rsidRPr="00984D79">
              <w:rPr>
                <w:noProof/>
                <w:webHidden/>
                <w:sz w:val="26"/>
                <w:szCs w:val="26"/>
              </w:rPr>
              <w:fldChar w:fldCharType="end"/>
            </w:r>
          </w:hyperlink>
        </w:p>
        <w:p w14:paraId="6F591103" w14:textId="2D728D1C" w:rsidR="00984D79" w:rsidRPr="00984D79" w:rsidRDefault="00AA00FA">
          <w:pPr>
            <w:pStyle w:val="TOC3"/>
            <w:rPr>
              <w:rFonts w:asciiTheme="minorHAnsi" w:eastAsiaTheme="minorEastAsia" w:hAnsiTheme="minorHAnsi" w:cstheme="minorBidi"/>
              <w:noProof/>
              <w:sz w:val="26"/>
              <w:szCs w:val="26"/>
            </w:rPr>
          </w:pPr>
          <w:hyperlink w:anchor="_Toc60912023" w:history="1">
            <w:r w:rsidR="00984D79" w:rsidRPr="00984D79">
              <w:rPr>
                <w:rStyle w:val="Hyperlink"/>
                <w:noProof/>
                <w:sz w:val="26"/>
                <w:szCs w:val="26"/>
              </w:rPr>
              <w:t>6.</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Bill Presentment of Residential Bill-Ready EGS Charges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_Toc60912023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23</w:t>
            </w:r>
            <w:r w:rsidR="00984D79" w:rsidRPr="00984D79">
              <w:rPr>
                <w:noProof/>
                <w:webHidden/>
                <w:sz w:val="26"/>
                <w:szCs w:val="26"/>
              </w:rPr>
              <w:fldChar w:fldCharType="end"/>
            </w:r>
          </w:hyperlink>
        </w:p>
        <w:p w14:paraId="46EE8060" w14:textId="30522756" w:rsidR="00984D79" w:rsidRPr="00984D79" w:rsidRDefault="00AA00FA">
          <w:pPr>
            <w:pStyle w:val="TOC3"/>
            <w:rPr>
              <w:rFonts w:asciiTheme="minorHAnsi" w:eastAsiaTheme="minorEastAsia" w:hAnsiTheme="minorHAnsi" w:cstheme="minorBidi"/>
              <w:noProof/>
              <w:sz w:val="26"/>
              <w:szCs w:val="26"/>
            </w:rPr>
          </w:pPr>
          <w:hyperlink w:anchor="_Toc60912024" w:history="1">
            <w:r w:rsidR="00984D79" w:rsidRPr="00984D79">
              <w:rPr>
                <w:rStyle w:val="Hyperlink"/>
                <w:noProof/>
                <w:sz w:val="26"/>
                <w:szCs w:val="26"/>
              </w:rPr>
              <w:t>7.</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Non-Basic Service Charges in Residential Bill-Ready EGS Charges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_Toc60912024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24</w:t>
            </w:r>
            <w:r w:rsidR="00984D79" w:rsidRPr="00984D79">
              <w:rPr>
                <w:noProof/>
                <w:webHidden/>
                <w:sz w:val="26"/>
                <w:szCs w:val="26"/>
              </w:rPr>
              <w:fldChar w:fldCharType="end"/>
            </w:r>
          </w:hyperlink>
        </w:p>
        <w:p w14:paraId="46BFBD03" w14:textId="20B74F49" w:rsidR="00984D79" w:rsidRPr="00984D79" w:rsidRDefault="00AA00FA">
          <w:pPr>
            <w:pStyle w:val="TOC2"/>
            <w:rPr>
              <w:rFonts w:asciiTheme="minorHAnsi" w:eastAsiaTheme="minorEastAsia" w:hAnsiTheme="minorHAnsi" w:cstheme="minorBidi"/>
              <w:noProof/>
              <w:sz w:val="26"/>
              <w:szCs w:val="26"/>
            </w:rPr>
          </w:pPr>
          <w:hyperlink w:anchor="_Toc60912025" w:history="1">
            <w:r w:rsidR="00984D79" w:rsidRPr="00984D79">
              <w:rPr>
                <w:rStyle w:val="Hyperlink"/>
                <w:noProof/>
                <w:sz w:val="26"/>
                <w:szCs w:val="26"/>
              </w:rPr>
              <w:t>B.</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ALJ’s Recommendation of the Partial Settlement</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_Toc60912025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26</w:t>
            </w:r>
            <w:r w:rsidR="00984D79" w:rsidRPr="00984D79">
              <w:rPr>
                <w:noProof/>
                <w:webHidden/>
                <w:sz w:val="26"/>
                <w:szCs w:val="26"/>
              </w:rPr>
              <w:fldChar w:fldCharType="end"/>
            </w:r>
          </w:hyperlink>
        </w:p>
        <w:p w14:paraId="44C309A3" w14:textId="1AF2C18A" w:rsidR="00984D79" w:rsidRPr="00984D79" w:rsidRDefault="00AA00FA">
          <w:pPr>
            <w:pStyle w:val="TOC2"/>
            <w:rPr>
              <w:rFonts w:asciiTheme="minorHAnsi" w:eastAsiaTheme="minorEastAsia" w:hAnsiTheme="minorHAnsi" w:cstheme="minorBidi"/>
              <w:noProof/>
              <w:sz w:val="26"/>
              <w:szCs w:val="26"/>
            </w:rPr>
          </w:pPr>
          <w:hyperlink w:anchor="_Toc60912026" w:history="1">
            <w:r w:rsidR="00984D79" w:rsidRPr="00984D79">
              <w:rPr>
                <w:rStyle w:val="Hyperlink"/>
                <w:noProof/>
                <w:sz w:val="26"/>
                <w:szCs w:val="26"/>
              </w:rPr>
              <w:t>C.</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Disposition of the Partial Settlement</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_Toc60912026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27</w:t>
            </w:r>
            <w:r w:rsidR="00984D79" w:rsidRPr="00984D79">
              <w:rPr>
                <w:noProof/>
                <w:webHidden/>
                <w:sz w:val="26"/>
                <w:szCs w:val="26"/>
              </w:rPr>
              <w:fldChar w:fldCharType="end"/>
            </w:r>
          </w:hyperlink>
        </w:p>
        <w:p w14:paraId="09557B20" w14:textId="3B582C7D" w:rsidR="00984D79" w:rsidRPr="00984D79" w:rsidRDefault="00AA00FA">
          <w:pPr>
            <w:pStyle w:val="TOC1"/>
            <w:rPr>
              <w:rFonts w:asciiTheme="minorHAnsi" w:eastAsiaTheme="minorEastAsia" w:hAnsiTheme="minorHAnsi" w:cstheme="minorBidi"/>
              <w:noProof/>
              <w:sz w:val="26"/>
              <w:szCs w:val="26"/>
            </w:rPr>
          </w:pPr>
          <w:hyperlink w:anchor="_Toc60912027" w:history="1">
            <w:r w:rsidR="00984D79" w:rsidRPr="00984D79">
              <w:rPr>
                <w:rStyle w:val="Hyperlink"/>
                <w:noProof/>
                <w:sz w:val="26"/>
                <w:szCs w:val="26"/>
              </w:rPr>
              <w:t>V.</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SOP Stipulation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_Toc60912027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28</w:t>
            </w:r>
            <w:r w:rsidR="00984D79" w:rsidRPr="00984D79">
              <w:rPr>
                <w:noProof/>
                <w:webHidden/>
                <w:sz w:val="26"/>
                <w:szCs w:val="26"/>
              </w:rPr>
              <w:fldChar w:fldCharType="end"/>
            </w:r>
          </w:hyperlink>
        </w:p>
        <w:p w14:paraId="2F6123FD" w14:textId="0CE2EDBB" w:rsidR="00984D79" w:rsidRPr="00984D79" w:rsidRDefault="00AA00FA">
          <w:pPr>
            <w:pStyle w:val="TOC2"/>
            <w:rPr>
              <w:rFonts w:asciiTheme="minorHAnsi" w:eastAsiaTheme="minorEastAsia" w:hAnsiTheme="minorHAnsi" w:cstheme="minorBidi"/>
              <w:noProof/>
              <w:sz w:val="26"/>
              <w:szCs w:val="26"/>
            </w:rPr>
          </w:pPr>
          <w:hyperlink w:anchor="_Toc60912028" w:history="1">
            <w:r w:rsidR="00984D79" w:rsidRPr="00984D79">
              <w:rPr>
                <w:rStyle w:val="Hyperlink"/>
                <w:noProof/>
                <w:sz w:val="26"/>
                <w:szCs w:val="26"/>
              </w:rPr>
              <w:t>A.</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Duquesne Light’s SOP Proposal</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_Toc60912028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28</w:t>
            </w:r>
            <w:r w:rsidR="00984D79" w:rsidRPr="00984D79">
              <w:rPr>
                <w:noProof/>
                <w:webHidden/>
                <w:sz w:val="26"/>
                <w:szCs w:val="26"/>
              </w:rPr>
              <w:fldChar w:fldCharType="end"/>
            </w:r>
          </w:hyperlink>
        </w:p>
        <w:p w14:paraId="3CAE5E94" w14:textId="0F36EFB5" w:rsidR="00984D79" w:rsidRPr="00984D79" w:rsidRDefault="00AA00FA">
          <w:pPr>
            <w:pStyle w:val="TOC2"/>
            <w:rPr>
              <w:rFonts w:asciiTheme="minorHAnsi" w:eastAsiaTheme="minorEastAsia" w:hAnsiTheme="minorHAnsi" w:cstheme="minorBidi"/>
              <w:noProof/>
              <w:sz w:val="26"/>
              <w:szCs w:val="26"/>
            </w:rPr>
          </w:pPr>
          <w:hyperlink w:anchor="_Toc60912029" w:history="1">
            <w:r w:rsidR="00984D79" w:rsidRPr="00984D79">
              <w:rPr>
                <w:rStyle w:val="Hyperlink"/>
                <w:noProof/>
                <w:sz w:val="26"/>
                <w:szCs w:val="26"/>
              </w:rPr>
              <w:t>B.</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SOP Stipulation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_Toc60912029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30</w:t>
            </w:r>
            <w:r w:rsidR="00984D79" w:rsidRPr="00984D79">
              <w:rPr>
                <w:noProof/>
                <w:webHidden/>
                <w:sz w:val="26"/>
                <w:szCs w:val="26"/>
              </w:rPr>
              <w:fldChar w:fldCharType="end"/>
            </w:r>
          </w:hyperlink>
        </w:p>
        <w:p w14:paraId="086F1A0D" w14:textId="738B485E" w:rsidR="00984D79" w:rsidRPr="00984D79" w:rsidRDefault="00AA00FA">
          <w:pPr>
            <w:pStyle w:val="TOC2"/>
            <w:rPr>
              <w:rFonts w:asciiTheme="minorHAnsi" w:eastAsiaTheme="minorEastAsia" w:hAnsiTheme="minorHAnsi" w:cstheme="minorBidi"/>
              <w:noProof/>
              <w:sz w:val="26"/>
              <w:szCs w:val="26"/>
            </w:rPr>
          </w:pPr>
          <w:hyperlink w:anchor="_Toc60912030" w:history="1">
            <w:r w:rsidR="00984D79" w:rsidRPr="00984D79">
              <w:rPr>
                <w:rStyle w:val="Hyperlink"/>
                <w:rFonts w:eastAsiaTheme="minorHAnsi"/>
                <w:noProof/>
                <w:sz w:val="26"/>
                <w:szCs w:val="26"/>
              </w:rPr>
              <w:t>C.</w:t>
            </w:r>
            <w:r w:rsidR="00984D79" w:rsidRPr="00984D79">
              <w:rPr>
                <w:rFonts w:asciiTheme="minorHAnsi" w:eastAsiaTheme="minorEastAsia" w:hAnsiTheme="minorHAnsi" w:cstheme="minorBidi"/>
                <w:noProof/>
                <w:sz w:val="26"/>
                <w:szCs w:val="26"/>
              </w:rPr>
              <w:tab/>
            </w:r>
            <w:r w:rsidR="00984D79" w:rsidRPr="00984D79">
              <w:rPr>
                <w:rStyle w:val="Hyperlink"/>
                <w:rFonts w:eastAsiaTheme="minorHAnsi"/>
                <w:noProof/>
                <w:sz w:val="26"/>
                <w:szCs w:val="26"/>
              </w:rPr>
              <w:t>Recommended Decision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_Toc60912030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32</w:t>
            </w:r>
            <w:r w:rsidR="00984D79" w:rsidRPr="00984D79">
              <w:rPr>
                <w:noProof/>
                <w:webHidden/>
                <w:sz w:val="26"/>
                <w:szCs w:val="26"/>
              </w:rPr>
              <w:fldChar w:fldCharType="end"/>
            </w:r>
          </w:hyperlink>
        </w:p>
        <w:p w14:paraId="294726BC" w14:textId="59396514" w:rsidR="00984D79" w:rsidRPr="00984D79" w:rsidRDefault="00AA00FA">
          <w:pPr>
            <w:pStyle w:val="TOC2"/>
            <w:rPr>
              <w:rFonts w:asciiTheme="minorHAnsi" w:eastAsiaTheme="minorEastAsia" w:hAnsiTheme="minorHAnsi" w:cstheme="minorBidi"/>
              <w:noProof/>
              <w:sz w:val="26"/>
              <w:szCs w:val="26"/>
            </w:rPr>
          </w:pPr>
          <w:hyperlink w:anchor="_Toc60912031" w:history="1">
            <w:r w:rsidR="00984D79" w:rsidRPr="00984D79">
              <w:rPr>
                <w:rStyle w:val="Hyperlink"/>
                <w:rFonts w:eastAsiaTheme="minorHAnsi"/>
                <w:noProof/>
                <w:sz w:val="26"/>
                <w:szCs w:val="26"/>
              </w:rPr>
              <w:t>D.</w:t>
            </w:r>
            <w:r w:rsidR="00984D79" w:rsidRPr="00984D79">
              <w:rPr>
                <w:rFonts w:asciiTheme="minorHAnsi" w:eastAsiaTheme="minorEastAsia" w:hAnsiTheme="minorHAnsi" w:cstheme="minorBidi"/>
                <w:noProof/>
                <w:sz w:val="26"/>
                <w:szCs w:val="26"/>
              </w:rPr>
              <w:tab/>
            </w:r>
            <w:r w:rsidR="00984D79" w:rsidRPr="00984D79">
              <w:rPr>
                <w:rStyle w:val="Hyperlink"/>
                <w:rFonts w:eastAsiaTheme="minorHAnsi"/>
                <w:noProof/>
                <w:sz w:val="26"/>
                <w:szCs w:val="26"/>
              </w:rPr>
              <w:t>Disposition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_Toc60912031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33</w:t>
            </w:r>
            <w:r w:rsidR="00984D79" w:rsidRPr="00984D79">
              <w:rPr>
                <w:noProof/>
                <w:webHidden/>
                <w:sz w:val="26"/>
                <w:szCs w:val="26"/>
              </w:rPr>
              <w:fldChar w:fldCharType="end"/>
            </w:r>
          </w:hyperlink>
        </w:p>
        <w:p w14:paraId="29A5D51D" w14:textId="39901959" w:rsidR="00984D79" w:rsidRPr="00984D79" w:rsidRDefault="00AA00FA">
          <w:pPr>
            <w:pStyle w:val="TOC1"/>
            <w:rPr>
              <w:rFonts w:asciiTheme="minorHAnsi" w:eastAsiaTheme="minorEastAsia" w:hAnsiTheme="minorHAnsi" w:cstheme="minorBidi"/>
              <w:noProof/>
              <w:sz w:val="26"/>
              <w:szCs w:val="26"/>
            </w:rPr>
          </w:pPr>
          <w:hyperlink w:anchor="_Toc60912032" w:history="1">
            <w:r w:rsidR="00984D79" w:rsidRPr="00984D79">
              <w:rPr>
                <w:rStyle w:val="Hyperlink"/>
                <w:noProof/>
                <w:sz w:val="26"/>
                <w:szCs w:val="26"/>
              </w:rPr>
              <w:t>VI.</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Contested Issues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_Toc60912032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34</w:t>
            </w:r>
            <w:r w:rsidR="00984D79" w:rsidRPr="00984D79">
              <w:rPr>
                <w:noProof/>
                <w:webHidden/>
                <w:sz w:val="26"/>
                <w:szCs w:val="26"/>
              </w:rPr>
              <w:fldChar w:fldCharType="end"/>
            </w:r>
          </w:hyperlink>
        </w:p>
        <w:p w14:paraId="59ED72B4" w14:textId="7C63092D" w:rsidR="00984D79" w:rsidRPr="00984D79" w:rsidRDefault="00AA00FA">
          <w:pPr>
            <w:pStyle w:val="TOC2"/>
            <w:rPr>
              <w:rFonts w:asciiTheme="minorHAnsi" w:eastAsiaTheme="minorEastAsia" w:hAnsiTheme="minorHAnsi" w:cstheme="minorBidi"/>
              <w:noProof/>
              <w:sz w:val="26"/>
              <w:szCs w:val="26"/>
            </w:rPr>
          </w:pPr>
          <w:hyperlink w:anchor="_Toc60912033" w:history="1">
            <w:r w:rsidR="00984D79" w:rsidRPr="00984D79">
              <w:rPr>
                <w:rStyle w:val="Hyperlink"/>
                <w:noProof/>
                <w:sz w:val="26"/>
                <w:szCs w:val="26"/>
              </w:rPr>
              <w:t>A.</w:t>
            </w:r>
            <w:r w:rsidR="00984D79" w:rsidRPr="00984D79">
              <w:rPr>
                <w:rFonts w:asciiTheme="minorHAnsi" w:eastAsiaTheme="minorEastAsia" w:hAnsiTheme="minorHAnsi" w:cstheme="minorBidi"/>
                <w:noProof/>
                <w:sz w:val="26"/>
                <w:szCs w:val="26"/>
              </w:rPr>
              <w:tab/>
            </w:r>
            <w:r w:rsidR="00984D79" w:rsidRPr="00984D79">
              <w:rPr>
                <w:rStyle w:val="Hyperlink"/>
                <w:rFonts w:eastAsiaTheme="majorEastAsia"/>
                <w:noProof/>
                <w:sz w:val="26"/>
                <w:szCs w:val="26"/>
              </w:rPr>
              <w:t xml:space="preserve">EGS Payment of </w:t>
            </w:r>
            <w:r w:rsidR="00984D79" w:rsidRPr="00984D79">
              <w:rPr>
                <w:rStyle w:val="Hyperlink"/>
                <w:noProof/>
                <w:sz w:val="26"/>
                <w:szCs w:val="26"/>
              </w:rPr>
              <w:t>NITS</w:t>
            </w:r>
            <w:r w:rsidR="00984D79" w:rsidRPr="00984D79">
              <w:rPr>
                <w:rStyle w:val="Hyperlink"/>
                <w:rFonts w:eastAsiaTheme="majorEastAsia"/>
                <w:noProof/>
                <w:sz w:val="26"/>
                <w:szCs w:val="26"/>
              </w:rPr>
              <w:t xml:space="preserve"> Charges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_Toc60912033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34</w:t>
            </w:r>
            <w:r w:rsidR="00984D79" w:rsidRPr="00984D79">
              <w:rPr>
                <w:noProof/>
                <w:webHidden/>
                <w:sz w:val="26"/>
                <w:szCs w:val="26"/>
              </w:rPr>
              <w:fldChar w:fldCharType="end"/>
            </w:r>
          </w:hyperlink>
        </w:p>
        <w:p w14:paraId="055653F0" w14:textId="4F8097A8" w:rsidR="00984D79" w:rsidRPr="00984D79" w:rsidRDefault="00AA00FA">
          <w:pPr>
            <w:pStyle w:val="TOC3"/>
            <w:rPr>
              <w:rFonts w:asciiTheme="minorHAnsi" w:eastAsiaTheme="minorEastAsia" w:hAnsiTheme="minorHAnsi" w:cstheme="minorBidi"/>
              <w:noProof/>
              <w:sz w:val="26"/>
              <w:szCs w:val="26"/>
            </w:rPr>
          </w:pPr>
          <w:hyperlink w:anchor="_Toc60912034" w:history="1">
            <w:r w:rsidR="00984D79" w:rsidRPr="00984D79">
              <w:rPr>
                <w:rStyle w:val="Hyperlink"/>
                <w:rFonts w:eastAsiaTheme="majorEastAsia"/>
                <w:noProof/>
                <w:sz w:val="26"/>
                <w:szCs w:val="26"/>
              </w:rPr>
              <w:t>1.</w:t>
            </w:r>
            <w:r w:rsidR="00984D79" w:rsidRPr="00984D79">
              <w:rPr>
                <w:rFonts w:asciiTheme="minorHAnsi" w:eastAsiaTheme="minorEastAsia" w:hAnsiTheme="minorHAnsi" w:cstheme="minorBidi"/>
                <w:noProof/>
                <w:sz w:val="26"/>
                <w:szCs w:val="26"/>
              </w:rPr>
              <w:tab/>
            </w:r>
            <w:r w:rsidR="00984D79" w:rsidRPr="00984D79">
              <w:rPr>
                <w:rStyle w:val="Hyperlink"/>
                <w:rFonts w:eastAsiaTheme="majorEastAsia"/>
                <w:noProof/>
                <w:sz w:val="26"/>
                <w:szCs w:val="26"/>
              </w:rPr>
              <w:t>Background</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_Toc60912034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34</w:t>
            </w:r>
            <w:r w:rsidR="00984D79" w:rsidRPr="00984D79">
              <w:rPr>
                <w:noProof/>
                <w:webHidden/>
                <w:sz w:val="26"/>
                <w:szCs w:val="26"/>
              </w:rPr>
              <w:fldChar w:fldCharType="end"/>
            </w:r>
          </w:hyperlink>
        </w:p>
        <w:p w14:paraId="5BDECAEB" w14:textId="462BF45F" w:rsidR="00984D79" w:rsidRPr="00984D79" w:rsidRDefault="00AA00FA">
          <w:pPr>
            <w:pStyle w:val="TOC3"/>
            <w:rPr>
              <w:rFonts w:asciiTheme="minorHAnsi" w:eastAsiaTheme="minorEastAsia" w:hAnsiTheme="minorHAnsi" w:cstheme="minorBidi"/>
              <w:noProof/>
              <w:sz w:val="26"/>
              <w:szCs w:val="26"/>
            </w:rPr>
          </w:pPr>
          <w:hyperlink w:anchor="_Toc60912035" w:history="1">
            <w:r w:rsidR="00984D79" w:rsidRPr="00984D79">
              <w:rPr>
                <w:rStyle w:val="Hyperlink"/>
                <w:rFonts w:eastAsiaTheme="majorEastAsia"/>
                <w:noProof/>
                <w:sz w:val="26"/>
                <w:szCs w:val="26"/>
              </w:rPr>
              <w:t>2.</w:t>
            </w:r>
            <w:r w:rsidR="00984D79" w:rsidRPr="00984D79">
              <w:rPr>
                <w:rFonts w:asciiTheme="minorHAnsi" w:eastAsiaTheme="minorEastAsia" w:hAnsiTheme="minorHAnsi" w:cstheme="minorBidi"/>
                <w:noProof/>
                <w:sz w:val="26"/>
                <w:szCs w:val="26"/>
              </w:rPr>
              <w:tab/>
            </w:r>
            <w:r w:rsidR="00984D79" w:rsidRPr="00984D79">
              <w:rPr>
                <w:rStyle w:val="Hyperlink"/>
                <w:rFonts w:eastAsiaTheme="majorEastAsia"/>
                <w:noProof/>
                <w:sz w:val="26"/>
                <w:szCs w:val="26"/>
              </w:rPr>
              <w:t>Positions of the Parties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_Toc60912035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35</w:t>
            </w:r>
            <w:r w:rsidR="00984D79" w:rsidRPr="00984D79">
              <w:rPr>
                <w:noProof/>
                <w:webHidden/>
                <w:sz w:val="26"/>
                <w:szCs w:val="26"/>
              </w:rPr>
              <w:fldChar w:fldCharType="end"/>
            </w:r>
          </w:hyperlink>
        </w:p>
        <w:p w14:paraId="0D1B8413" w14:textId="3610C817" w:rsidR="00984D79" w:rsidRPr="00984D79" w:rsidRDefault="00AA00FA">
          <w:pPr>
            <w:pStyle w:val="TOC3"/>
            <w:rPr>
              <w:rFonts w:asciiTheme="minorHAnsi" w:eastAsiaTheme="minorEastAsia" w:hAnsiTheme="minorHAnsi" w:cstheme="minorBidi"/>
              <w:noProof/>
              <w:sz w:val="26"/>
              <w:szCs w:val="26"/>
            </w:rPr>
          </w:pPr>
          <w:hyperlink w:anchor="_Toc60912036" w:history="1">
            <w:r w:rsidR="00984D79" w:rsidRPr="00984D79">
              <w:rPr>
                <w:rStyle w:val="Hyperlink"/>
                <w:rFonts w:eastAsiaTheme="minorHAnsi"/>
                <w:noProof/>
                <w:sz w:val="26"/>
                <w:szCs w:val="26"/>
              </w:rPr>
              <w:t>3.</w:t>
            </w:r>
            <w:r w:rsidR="00984D79" w:rsidRPr="00984D79">
              <w:rPr>
                <w:rFonts w:asciiTheme="minorHAnsi" w:eastAsiaTheme="minorEastAsia" w:hAnsiTheme="minorHAnsi" w:cstheme="minorBidi"/>
                <w:noProof/>
                <w:sz w:val="26"/>
                <w:szCs w:val="26"/>
              </w:rPr>
              <w:tab/>
            </w:r>
            <w:r w:rsidR="00984D79" w:rsidRPr="00984D79">
              <w:rPr>
                <w:rStyle w:val="Hyperlink"/>
                <w:rFonts w:eastAsiaTheme="minorHAnsi"/>
                <w:noProof/>
                <w:sz w:val="26"/>
                <w:szCs w:val="26"/>
              </w:rPr>
              <w:t>Recommended Decision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_Toc60912036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40</w:t>
            </w:r>
            <w:r w:rsidR="00984D79" w:rsidRPr="00984D79">
              <w:rPr>
                <w:noProof/>
                <w:webHidden/>
                <w:sz w:val="26"/>
                <w:szCs w:val="26"/>
              </w:rPr>
              <w:fldChar w:fldCharType="end"/>
            </w:r>
          </w:hyperlink>
        </w:p>
        <w:p w14:paraId="73A67330" w14:textId="591D5A5C" w:rsidR="00984D79" w:rsidRPr="00984D79" w:rsidRDefault="00AA00FA">
          <w:pPr>
            <w:pStyle w:val="TOC3"/>
            <w:rPr>
              <w:rFonts w:asciiTheme="minorHAnsi" w:eastAsiaTheme="minorEastAsia" w:hAnsiTheme="minorHAnsi" w:cstheme="minorBidi"/>
              <w:noProof/>
              <w:sz w:val="26"/>
              <w:szCs w:val="26"/>
            </w:rPr>
          </w:pPr>
          <w:hyperlink w:anchor="_Toc60912037" w:history="1">
            <w:r w:rsidR="00984D79" w:rsidRPr="00984D79">
              <w:rPr>
                <w:rStyle w:val="Hyperlink"/>
                <w:rFonts w:eastAsiaTheme="majorEastAsia"/>
                <w:noProof/>
                <w:sz w:val="26"/>
                <w:szCs w:val="26"/>
              </w:rPr>
              <w:t>4.</w:t>
            </w:r>
            <w:r w:rsidR="00984D79" w:rsidRPr="00984D79">
              <w:rPr>
                <w:rFonts w:asciiTheme="minorHAnsi" w:eastAsiaTheme="minorEastAsia" w:hAnsiTheme="minorHAnsi" w:cstheme="minorBidi"/>
                <w:noProof/>
                <w:sz w:val="26"/>
                <w:szCs w:val="26"/>
              </w:rPr>
              <w:tab/>
            </w:r>
            <w:r w:rsidR="00984D79" w:rsidRPr="00984D79">
              <w:rPr>
                <w:rStyle w:val="Hyperlink"/>
                <w:rFonts w:eastAsiaTheme="majorEastAsia"/>
                <w:noProof/>
                <w:sz w:val="26"/>
                <w:szCs w:val="26"/>
              </w:rPr>
              <w:t>EGS Parties’ Exception No. 2 and Replies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_Toc60912037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40</w:t>
            </w:r>
            <w:r w:rsidR="00984D79" w:rsidRPr="00984D79">
              <w:rPr>
                <w:noProof/>
                <w:webHidden/>
                <w:sz w:val="26"/>
                <w:szCs w:val="26"/>
              </w:rPr>
              <w:fldChar w:fldCharType="end"/>
            </w:r>
          </w:hyperlink>
        </w:p>
        <w:p w14:paraId="539DF1AC" w14:textId="43810C83" w:rsidR="00984D79" w:rsidRPr="00984D79" w:rsidRDefault="00AA00FA">
          <w:pPr>
            <w:pStyle w:val="TOC3"/>
            <w:rPr>
              <w:rFonts w:asciiTheme="minorHAnsi" w:eastAsiaTheme="minorEastAsia" w:hAnsiTheme="minorHAnsi" w:cstheme="minorBidi"/>
              <w:noProof/>
              <w:sz w:val="26"/>
              <w:szCs w:val="26"/>
            </w:rPr>
          </w:pPr>
          <w:hyperlink w:anchor="_Toc60912038" w:history="1">
            <w:r w:rsidR="00984D79" w:rsidRPr="00984D79">
              <w:rPr>
                <w:rStyle w:val="Hyperlink"/>
                <w:rFonts w:eastAsiaTheme="majorEastAsia"/>
                <w:noProof/>
                <w:sz w:val="26"/>
                <w:szCs w:val="26"/>
              </w:rPr>
              <w:t>5.</w:t>
            </w:r>
            <w:r w:rsidR="00984D79" w:rsidRPr="00984D79">
              <w:rPr>
                <w:rFonts w:asciiTheme="minorHAnsi" w:eastAsiaTheme="minorEastAsia" w:hAnsiTheme="minorHAnsi" w:cstheme="minorBidi"/>
                <w:noProof/>
                <w:sz w:val="26"/>
                <w:szCs w:val="26"/>
              </w:rPr>
              <w:tab/>
            </w:r>
            <w:r w:rsidR="00984D79" w:rsidRPr="00984D79">
              <w:rPr>
                <w:rStyle w:val="Hyperlink"/>
                <w:rFonts w:eastAsiaTheme="majorEastAsia"/>
                <w:noProof/>
                <w:sz w:val="26"/>
                <w:szCs w:val="26"/>
              </w:rPr>
              <w:t>Disposition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_Toc60912038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43</w:t>
            </w:r>
            <w:r w:rsidR="00984D79" w:rsidRPr="00984D79">
              <w:rPr>
                <w:noProof/>
                <w:webHidden/>
                <w:sz w:val="26"/>
                <w:szCs w:val="26"/>
              </w:rPr>
              <w:fldChar w:fldCharType="end"/>
            </w:r>
          </w:hyperlink>
        </w:p>
        <w:p w14:paraId="6D4D296D" w14:textId="4EAB743F" w:rsidR="00984D79" w:rsidRPr="00984D79" w:rsidRDefault="00AA00FA">
          <w:pPr>
            <w:pStyle w:val="TOC2"/>
            <w:rPr>
              <w:rFonts w:asciiTheme="minorHAnsi" w:eastAsiaTheme="minorEastAsia" w:hAnsiTheme="minorHAnsi" w:cstheme="minorBidi"/>
              <w:noProof/>
              <w:sz w:val="26"/>
              <w:szCs w:val="26"/>
            </w:rPr>
          </w:pPr>
          <w:hyperlink w:anchor="_Toc60912039" w:history="1">
            <w:r w:rsidR="00984D79" w:rsidRPr="00984D79">
              <w:rPr>
                <w:rStyle w:val="Hyperlink"/>
                <w:noProof/>
                <w:sz w:val="26"/>
                <w:szCs w:val="26"/>
              </w:rPr>
              <w:t>B.</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EV-TOU Pilot Program</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_Toc60912039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46</w:t>
            </w:r>
            <w:r w:rsidR="00984D79" w:rsidRPr="00984D79">
              <w:rPr>
                <w:noProof/>
                <w:webHidden/>
                <w:sz w:val="26"/>
                <w:szCs w:val="26"/>
              </w:rPr>
              <w:fldChar w:fldCharType="end"/>
            </w:r>
          </w:hyperlink>
        </w:p>
        <w:p w14:paraId="443B218D" w14:textId="0148364A" w:rsidR="00984D79" w:rsidRPr="00984D79" w:rsidRDefault="00AA00FA">
          <w:pPr>
            <w:pStyle w:val="TOC3"/>
            <w:rPr>
              <w:rFonts w:asciiTheme="minorHAnsi" w:eastAsiaTheme="minorEastAsia" w:hAnsiTheme="minorHAnsi" w:cstheme="minorBidi"/>
              <w:noProof/>
              <w:sz w:val="26"/>
              <w:szCs w:val="26"/>
            </w:rPr>
          </w:pPr>
          <w:hyperlink w:anchor="_Toc60912040" w:history="1">
            <w:r w:rsidR="00984D79" w:rsidRPr="00984D79">
              <w:rPr>
                <w:rStyle w:val="Hyperlink"/>
                <w:noProof/>
                <w:sz w:val="26"/>
                <w:szCs w:val="26"/>
              </w:rPr>
              <w:t>1.</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Positions of the Parties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_Toc60912040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46</w:t>
            </w:r>
            <w:r w:rsidR="00984D79" w:rsidRPr="00984D79">
              <w:rPr>
                <w:noProof/>
                <w:webHidden/>
                <w:sz w:val="26"/>
                <w:szCs w:val="26"/>
              </w:rPr>
              <w:fldChar w:fldCharType="end"/>
            </w:r>
          </w:hyperlink>
        </w:p>
        <w:p w14:paraId="2B82E7E1" w14:textId="58C62C8E" w:rsidR="00984D79" w:rsidRPr="00984D79" w:rsidRDefault="00AA00FA">
          <w:pPr>
            <w:pStyle w:val="TOC3"/>
            <w:rPr>
              <w:rFonts w:asciiTheme="minorHAnsi" w:eastAsiaTheme="minorEastAsia" w:hAnsiTheme="minorHAnsi" w:cstheme="minorBidi"/>
              <w:noProof/>
              <w:sz w:val="26"/>
              <w:szCs w:val="26"/>
            </w:rPr>
          </w:pPr>
          <w:hyperlink w:anchor="_Toc60912041" w:history="1">
            <w:r w:rsidR="00984D79" w:rsidRPr="00984D79">
              <w:rPr>
                <w:rStyle w:val="Hyperlink"/>
                <w:noProof/>
                <w:sz w:val="26"/>
                <w:szCs w:val="26"/>
              </w:rPr>
              <w:t>2.</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EV TOU Stipulation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_Toc60912041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50</w:t>
            </w:r>
            <w:r w:rsidR="00984D79" w:rsidRPr="00984D79">
              <w:rPr>
                <w:noProof/>
                <w:webHidden/>
                <w:sz w:val="26"/>
                <w:szCs w:val="26"/>
              </w:rPr>
              <w:fldChar w:fldCharType="end"/>
            </w:r>
          </w:hyperlink>
        </w:p>
        <w:p w14:paraId="58066B6B" w14:textId="098474BD" w:rsidR="00984D79" w:rsidRPr="00984D79" w:rsidRDefault="00AA00FA">
          <w:pPr>
            <w:pStyle w:val="TOC3"/>
            <w:rPr>
              <w:rFonts w:asciiTheme="minorHAnsi" w:eastAsiaTheme="minorEastAsia" w:hAnsiTheme="minorHAnsi" w:cstheme="minorBidi"/>
              <w:noProof/>
              <w:sz w:val="26"/>
              <w:szCs w:val="26"/>
            </w:rPr>
          </w:pPr>
          <w:hyperlink w:anchor="_Toc60912042" w:history="1">
            <w:r w:rsidR="00984D79" w:rsidRPr="00984D79">
              <w:rPr>
                <w:rStyle w:val="Hyperlink"/>
                <w:noProof/>
                <w:sz w:val="26"/>
                <w:szCs w:val="26"/>
              </w:rPr>
              <w:t>3.</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Recommended Decision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_Toc60912042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52</w:t>
            </w:r>
            <w:r w:rsidR="00984D79" w:rsidRPr="00984D79">
              <w:rPr>
                <w:noProof/>
                <w:webHidden/>
                <w:sz w:val="26"/>
                <w:szCs w:val="26"/>
              </w:rPr>
              <w:fldChar w:fldCharType="end"/>
            </w:r>
          </w:hyperlink>
        </w:p>
        <w:p w14:paraId="0953C90F" w14:textId="7E3E0717" w:rsidR="00984D79" w:rsidRPr="00984D79" w:rsidRDefault="00AA00FA">
          <w:pPr>
            <w:pStyle w:val="TOC3"/>
            <w:rPr>
              <w:rFonts w:asciiTheme="minorHAnsi" w:eastAsiaTheme="minorEastAsia" w:hAnsiTheme="minorHAnsi" w:cstheme="minorBidi"/>
              <w:noProof/>
              <w:sz w:val="26"/>
              <w:szCs w:val="26"/>
            </w:rPr>
          </w:pPr>
          <w:hyperlink w:anchor="_Toc60912043" w:history="1">
            <w:r w:rsidR="00984D79" w:rsidRPr="00984D79">
              <w:rPr>
                <w:rStyle w:val="Hyperlink"/>
                <w:noProof/>
                <w:sz w:val="26"/>
                <w:szCs w:val="26"/>
              </w:rPr>
              <w:t>4.</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EGS Parties Exception No. 1 and Replies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_Toc60912043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53</w:t>
            </w:r>
            <w:r w:rsidR="00984D79" w:rsidRPr="00984D79">
              <w:rPr>
                <w:noProof/>
                <w:webHidden/>
                <w:sz w:val="26"/>
                <w:szCs w:val="26"/>
              </w:rPr>
              <w:fldChar w:fldCharType="end"/>
            </w:r>
          </w:hyperlink>
        </w:p>
        <w:p w14:paraId="6E54E81D" w14:textId="5AF2A447" w:rsidR="00984D79" w:rsidRPr="00984D79" w:rsidRDefault="00AA00FA">
          <w:pPr>
            <w:pStyle w:val="TOC3"/>
            <w:rPr>
              <w:rFonts w:asciiTheme="minorHAnsi" w:eastAsiaTheme="minorEastAsia" w:hAnsiTheme="minorHAnsi" w:cstheme="minorBidi"/>
              <w:noProof/>
              <w:sz w:val="26"/>
              <w:szCs w:val="26"/>
            </w:rPr>
          </w:pPr>
          <w:hyperlink w:anchor="_Toc60912044" w:history="1">
            <w:r w:rsidR="00984D79" w:rsidRPr="00984D79">
              <w:rPr>
                <w:rStyle w:val="Hyperlink"/>
                <w:noProof/>
                <w:sz w:val="26"/>
                <w:szCs w:val="26"/>
              </w:rPr>
              <w:t>5.</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Disposition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_Toc60912044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58</w:t>
            </w:r>
            <w:r w:rsidR="00984D79" w:rsidRPr="00984D79">
              <w:rPr>
                <w:noProof/>
                <w:webHidden/>
                <w:sz w:val="26"/>
                <w:szCs w:val="26"/>
              </w:rPr>
              <w:fldChar w:fldCharType="end"/>
            </w:r>
          </w:hyperlink>
        </w:p>
        <w:p w14:paraId="4A598C0F" w14:textId="4DB581BA" w:rsidR="00984D79" w:rsidRPr="00984D79" w:rsidRDefault="00AA00FA">
          <w:pPr>
            <w:pStyle w:val="TOC2"/>
            <w:rPr>
              <w:rFonts w:asciiTheme="minorHAnsi" w:eastAsiaTheme="minorEastAsia" w:hAnsiTheme="minorHAnsi" w:cstheme="minorBidi"/>
              <w:noProof/>
              <w:sz w:val="26"/>
              <w:szCs w:val="26"/>
            </w:rPr>
          </w:pPr>
          <w:hyperlink w:anchor="_Toc60912045" w:history="1">
            <w:r w:rsidR="00984D79" w:rsidRPr="00984D79">
              <w:rPr>
                <w:rStyle w:val="Hyperlink"/>
                <w:noProof/>
                <w:sz w:val="26"/>
                <w:szCs w:val="26"/>
              </w:rPr>
              <w:t>C.</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Solar PPA Proposal</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_Toc60912045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61</w:t>
            </w:r>
            <w:r w:rsidR="00984D79" w:rsidRPr="00984D79">
              <w:rPr>
                <w:noProof/>
                <w:webHidden/>
                <w:sz w:val="26"/>
                <w:szCs w:val="26"/>
              </w:rPr>
              <w:fldChar w:fldCharType="end"/>
            </w:r>
          </w:hyperlink>
        </w:p>
        <w:p w14:paraId="685EE819" w14:textId="380DFBF2" w:rsidR="00984D79" w:rsidRPr="00984D79" w:rsidRDefault="00AA00FA">
          <w:pPr>
            <w:pStyle w:val="TOC3"/>
            <w:rPr>
              <w:rFonts w:asciiTheme="minorHAnsi" w:eastAsiaTheme="minorEastAsia" w:hAnsiTheme="minorHAnsi" w:cstheme="minorBidi"/>
              <w:noProof/>
              <w:sz w:val="26"/>
              <w:szCs w:val="26"/>
            </w:rPr>
          </w:pPr>
          <w:hyperlink w:anchor="_Toc60912046" w:history="1">
            <w:r w:rsidR="00984D79" w:rsidRPr="00984D79">
              <w:rPr>
                <w:rStyle w:val="Hyperlink"/>
                <w:noProof/>
                <w:sz w:val="26"/>
                <w:szCs w:val="26"/>
              </w:rPr>
              <w:t>1.</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Positions of the Parties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_Toc60912046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61</w:t>
            </w:r>
            <w:r w:rsidR="00984D79" w:rsidRPr="00984D79">
              <w:rPr>
                <w:noProof/>
                <w:webHidden/>
                <w:sz w:val="26"/>
                <w:szCs w:val="26"/>
              </w:rPr>
              <w:fldChar w:fldCharType="end"/>
            </w:r>
          </w:hyperlink>
        </w:p>
        <w:p w14:paraId="1BFB0052" w14:textId="3E70C36A" w:rsidR="00984D79" w:rsidRPr="00984D79" w:rsidRDefault="00AA00FA">
          <w:pPr>
            <w:pStyle w:val="TOC3"/>
            <w:rPr>
              <w:rFonts w:asciiTheme="minorHAnsi" w:eastAsiaTheme="minorEastAsia" w:hAnsiTheme="minorHAnsi" w:cstheme="minorBidi"/>
              <w:noProof/>
              <w:sz w:val="26"/>
              <w:szCs w:val="26"/>
            </w:rPr>
          </w:pPr>
          <w:hyperlink w:anchor="_Toc60912047" w:history="1">
            <w:r w:rsidR="00984D79" w:rsidRPr="00984D79">
              <w:rPr>
                <w:rStyle w:val="Hyperlink"/>
                <w:noProof/>
                <w:sz w:val="26"/>
                <w:szCs w:val="26"/>
              </w:rPr>
              <w:t>2.</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Recommended Decision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_Toc60912047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66</w:t>
            </w:r>
            <w:r w:rsidR="00984D79" w:rsidRPr="00984D79">
              <w:rPr>
                <w:noProof/>
                <w:webHidden/>
                <w:sz w:val="26"/>
                <w:szCs w:val="26"/>
              </w:rPr>
              <w:fldChar w:fldCharType="end"/>
            </w:r>
          </w:hyperlink>
        </w:p>
        <w:p w14:paraId="0747F939" w14:textId="5A122392" w:rsidR="00984D79" w:rsidRPr="00984D79" w:rsidRDefault="00AA00FA">
          <w:pPr>
            <w:pStyle w:val="TOC3"/>
            <w:rPr>
              <w:rFonts w:asciiTheme="minorHAnsi" w:eastAsiaTheme="minorEastAsia" w:hAnsiTheme="minorHAnsi" w:cstheme="minorBidi"/>
              <w:noProof/>
              <w:sz w:val="26"/>
              <w:szCs w:val="26"/>
            </w:rPr>
          </w:pPr>
          <w:hyperlink w:anchor="_Toc60912048" w:history="1">
            <w:r w:rsidR="00984D79" w:rsidRPr="00984D79">
              <w:rPr>
                <w:rStyle w:val="Hyperlink"/>
                <w:noProof/>
                <w:sz w:val="26"/>
                <w:szCs w:val="26"/>
              </w:rPr>
              <w:t>3.</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Exceptions and Replies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_Toc60912048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71</w:t>
            </w:r>
            <w:r w:rsidR="00984D79" w:rsidRPr="00984D79">
              <w:rPr>
                <w:noProof/>
                <w:webHidden/>
                <w:sz w:val="26"/>
                <w:szCs w:val="26"/>
              </w:rPr>
              <w:fldChar w:fldCharType="end"/>
            </w:r>
          </w:hyperlink>
        </w:p>
        <w:p w14:paraId="6F30B25B" w14:textId="397F8D16" w:rsidR="00984D79" w:rsidRPr="00984D79" w:rsidRDefault="00AA00FA">
          <w:pPr>
            <w:pStyle w:val="TOC3"/>
            <w:rPr>
              <w:rFonts w:asciiTheme="minorHAnsi" w:eastAsiaTheme="minorEastAsia" w:hAnsiTheme="minorHAnsi" w:cstheme="minorBidi"/>
              <w:noProof/>
              <w:sz w:val="26"/>
              <w:szCs w:val="26"/>
            </w:rPr>
          </w:pPr>
          <w:hyperlink w:anchor="_Toc60912049" w:history="1">
            <w:r w:rsidR="00984D79" w:rsidRPr="00984D79">
              <w:rPr>
                <w:rStyle w:val="Hyperlink"/>
                <w:noProof/>
                <w:sz w:val="26"/>
                <w:szCs w:val="26"/>
              </w:rPr>
              <w:t>4.</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Disposition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_Toc60912049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81</w:t>
            </w:r>
            <w:r w:rsidR="00984D79" w:rsidRPr="00984D79">
              <w:rPr>
                <w:noProof/>
                <w:webHidden/>
                <w:sz w:val="26"/>
                <w:szCs w:val="26"/>
              </w:rPr>
              <w:fldChar w:fldCharType="end"/>
            </w:r>
          </w:hyperlink>
        </w:p>
        <w:p w14:paraId="3A37452B" w14:textId="5FB523D0" w:rsidR="00984D79" w:rsidRPr="00984D79" w:rsidRDefault="00AA00FA">
          <w:pPr>
            <w:pStyle w:val="TOC2"/>
            <w:rPr>
              <w:rFonts w:asciiTheme="minorHAnsi" w:eastAsiaTheme="minorEastAsia" w:hAnsiTheme="minorHAnsi" w:cstheme="minorBidi"/>
              <w:noProof/>
              <w:sz w:val="26"/>
              <w:szCs w:val="26"/>
            </w:rPr>
          </w:pPr>
          <w:hyperlink w:anchor="_Toc60912050" w:history="1">
            <w:r w:rsidR="00984D79" w:rsidRPr="00984D79">
              <w:rPr>
                <w:rStyle w:val="Hyperlink"/>
                <w:noProof/>
                <w:sz w:val="26"/>
                <w:szCs w:val="26"/>
              </w:rPr>
              <w:t>D.</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CAP Shopping</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_Toc60912050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87</w:t>
            </w:r>
            <w:r w:rsidR="00984D79" w:rsidRPr="00984D79">
              <w:rPr>
                <w:noProof/>
                <w:webHidden/>
                <w:sz w:val="26"/>
                <w:szCs w:val="26"/>
              </w:rPr>
              <w:fldChar w:fldCharType="end"/>
            </w:r>
          </w:hyperlink>
        </w:p>
        <w:p w14:paraId="7565630D" w14:textId="1E0F8D09" w:rsidR="00984D79" w:rsidRPr="00984D79" w:rsidRDefault="00AA00FA">
          <w:pPr>
            <w:pStyle w:val="TOC3"/>
            <w:rPr>
              <w:rFonts w:asciiTheme="minorHAnsi" w:eastAsiaTheme="minorEastAsia" w:hAnsiTheme="minorHAnsi" w:cstheme="minorBidi"/>
              <w:noProof/>
              <w:sz w:val="26"/>
              <w:szCs w:val="26"/>
            </w:rPr>
          </w:pPr>
          <w:hyperlink w:anchor="_Toc60912051" w:history="1">
            <w:r w:rsidR="00984D79" w:rsidRPr="00984D79">
              <w:rPr>
                <w:rStyle w:val="Hyperlink"/>
                <w:noProof/>
                <w:sz w:val="26"/>
                <w:szCs w:val="26"/>
              </w:rPr>
              <w:t>1.</w:t>
            </w:r>
            <w:r w:rsidR="00984D79" w:rsidRPr="00984D79">
              <w:rPr>
                <w:rFonts w:asciiTheme="minorHAnsi" w:eastAsiaTheme="minorEastAsia" w:hAnsiTheme="minorHAnsi" w:cstheme="minorBidi"/>
                <w:noProof/>
                <w:sz w:val="26"/>
                <w:szCs w:val="26"/>
              </w:rPr>
              <w:tab/>
            </w:r>
            <w:r w:rsidR="00984D79" w:rsidRPr="00984D79">
              <w:rPr>
                <w:rStyle w:val="Hyperlink"/>
                <w:caps/>
                <w:noProof/>
                <w:sz w:val="26"/>
                <w:szCs w:val="26"/>
              </w:rPr>
              <w:t>P</w:t>
            </w:r>
            <w:r w:rsidR="00984D79" w:rsidRPr="00984D79">
              <w:rPr>
                <w:rStyle w:val="Hyperlink"/>
                <w:noProof/>
                <w:sz w:val="26"/>
                <w:szCs w:val="26"/>
              </w:rPr>
              <w:t>ositions of the Parties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_Toc60912051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87</w:t>
            </w:r>
            <w:r w:rsidR="00984D79" w:rsidRPr="00984D79">
              <w:rPr>
                <w:noProof/>
                <w:webHidden/>
                <w:sz w:val="26"/>
                <w:szCs w:val="26"/>
              </w:rPr>
              <w:fldChar w:fldCharType="end"/>
            </w:r>
          </w:hyperlink>
        </w:p>
        <w:p w14:paraId="4D95E128" w14:textId="0FC841D6" w:rsidR="00984D79" w:rsidRPr="00984D79" w:rsidRDefault="00AA00FA">
          <w:pPr>
            <w:pStyle w:val="TOC3"/>
            <w:rPr>
              <w:rFonts w:asciiTheme="minorHAnsi" w:eastAsiaTheme="minorEastAsia" w:hAnsiTheme="minorHAnsi" w:cstheme="minorBidi"/>
              <w:noProof/>
              <w:sz w:val="26"/>
              <w:szCs w:val="26"/>
            </w:rPr>
          </w:pPr>
          <w:hyperlink w:anchor="_Toc60912052" w:history="1">
            <w:r w:rsidR="00984D79" w:rsidRPr="00984D79">
              <w:rPr>
                <w:rStyle w:val="Hyperlink"/>
                <w:noProof/>
                <w:sz w:val="26"/>
                <w:szCs w:val="26"/>
              </w:rPr>
              <w:t>2.</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CAP Shopping Stipulation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_Toc60912052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91</w:t>
            </w:r>
            <w:r w:rsidR="00984D79" w:rsidRPr="00984D79">
              <w:rPr>
                <w:noProof/>
                <w:webHidden/>
                <w:sz w:val="26"/>
                <w:szCs w:val="26"/>
              </w:rPr>
              <w:fldChar w:fldCharType="end"/>
            </w:r>
          </w:hyperlink>
        </w:p>
        <w:p w14:paraId="09EBAA0E" w14:textId="77F1E544" w:rsidR="00984D79" w:rsidRPr="00984D79" w:rsidRDefault="00AA00FA">
          <w:pPr>
            <w:pStyle w:val="TOC3"/>
            <w:rPr>
              <w:rFonts w:asciiTheme="minorHAnsi" w:eastAsiaTheme="minorEastAsia" w:hAnsiTheme="minorHAnsi" w:cstheme="minorBidi"/>
              <w:noProof/>
              <w:sz w:val="26"/>
              <w:szCs w:val="26"/>
            </w:rPr>
          </w:pPr>
          <w:hyperlink w:anchor="_Toc60912053" w:history="1">
            <w:r w:rsidR="00984D79" w:rsidRPr="00984D79">
              <w:rPr>
                <w:rStyle w:val="Hyperlink"/>
                <w:noProof/>
                <w:sz w:val="26"/>
                <w:szCs w:val="26"/>
              </w:rPr>
              <w:t>3.</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Recommended Decision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_Toc60912053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92</w:t>
            </w:r>
            <w:r w:rsidR="00984D79" w:rsidRPr="00984D79">
              <w:rPr>
                <w:noProof/>
                <w:webHidden/>
                <w:sz w:val="26"/>
                <w:szCs w:val="26"/>
              </w:rPr>
              <w:fldChar w:fldCharType="end"/>
            </w:r>
          </w:hyperlink>
        </w:p>
        <w:p w14:paraId="30E78B7E" w14:textId="31E6E6AA" w:rsidR="00984D79" w:rsidRPr="00984D79" w:rsidRDefault="00AA00FA">
          <w:pPr>
            <w:pStyle w:val="TOC3"/>
            <w:rPr>
              <w:rFonts w:asciiTheme="minorHAnsi" w:eastAsiaTheme="minorEastAsia" w:hAnsiTheme="minorHAnsi" w:cstheme="minorBidi"/>
              <w:noProof/>
              <w:sz w:val="26"/>
              <w:szCs w:val="26"/>
            </w:rPr>
          </w:pPr>
          <w:hyperlink w:anchor="_Toc60912054" w:history="1">
            <w:r w:rsidR="00984D79" w:rsidRPr="00984D79">
              <w:rPr>
                <w:rStyle w:val="Hyperlink"/>
                <w:noProof/>
                <w:sz w:val="26"/>
                <w:szCs w:val="26"/>
              </w:rPr>
              <w:t>4.</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EGS Parties Exception No. 4 and Replies</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_Toc60912054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92</w:t>
            </w:r>
            <w:r w:rsidR="00984D79" w:rsidRPr="00984D79">
              <w:rPr>
                <w:noProof/>
                <w:webHidden/>
                <w:sz w:val="26"/>
                <w:szCs w:val="26"/>
              </w:rPr>
              <w:fldChar w:fldCharType="end"/>
            </w:r>
          </w:hyperlink>
        </w:p>
        <w:p w14:paraId="3DDF214A" w14:textId="0A938428" w:rsidR="00984D79" w:rsidRPr="00984D79" w:rsidRDefault="00AA00FA">
          <w:pPr>
            <w:pStyle w:val="TOC3"/>
            <w:rPr>
              <w:rFonts w:asciiTheme="minorHAnsi" w:eastAsiaTheme="minorEastAsia" w:hAnsiTheme="minorHAnsi" w:cstheme="minorBidi"/>
              <w:noProof/>
              <w:sz w:val="26"/>
              <w:szCs w:val="26"/>
            </w:rPr>
          </w:pPr>
          <w:hyperlink w:anchor="_Toc60912055" w:history="1">
            <w:r w:rsidR="00984D79" w:rsidRPr="00984D79">
              <w:rPr>
                <w:rStyle w:val="Hyperlink"/>
                <w:noProof/>
                <w:sz w:val="26"/>
                <w:szCs w:val="26"/>
              </w:rPr>
              <w:t>5.</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Disposition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_Toc60912055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96</w:t>
            </w:r>
            <w:r w:rsidR="00984D79" w:rsidRPr="00984D79">
              <w:rPr>
                <w:noProof/>
                <w:webHidden/>
                <w:sz w:val="26"/>
                <w:szCs w:val="26"/>
              </w:rPr>
              <w:fldChar w:fldCharType="end"/>
            </w:r>
          </w:hyperlink>
        </w:p>
        <w:p w14:paraId="340CD66C" w14:textId="2DCB15C1" w:rsidR="00984D79" w:rsidRPr="00984D79" w:rsidRDefault="00AA00FA">
          <w:pPr>
            <w:pStyle w:val="TOC1"/>
            <w:rPr>
              <w:rFonts w:asciiTheme="minorHAnsi" w:eastAsiaTheme="minorEastAsia" w:hAnsiTheme="minorHAnsi" w:cstheme="minorBidi"/>
              <w:noProof/>
              <w:sz w:val="26"/>
              <w:szCs w:val="26"/>
            </w:rPr>
          </w:pPr>
          <w:hyperlink w:anchor="_Toc60912056" w:history="1">
            <w:r w:rsidR="00984D79" w:rsidRPr="00984D79">
              <w:rPr>
                <w:rStyle w:val="Hyperlink"/>
                <w:caps/>
                <w:noProof/>
                <w:sz w:val="26"/>
                <w:szCs w:val="26"/>
              </w:rPr>
              <w:t>VII.</w:t>
            </w:r>
            <w:r w:rsidR="00984D79" w:rsidRPr="00984D79">
              <w:rPr>
                <w:rFonts w:asciiTheme="minorHAnsi" w:eastAsiaTheme="minorEastAsia" w:hAnsiTheme="minorHAnsi" w:cstheme="minorBidi"/>
                <w:noProof/>
                <w:sz w:val="26"/>
                <w:szCs w:val="26"/>
              </w:rPr>
              <w:tab/>
            </w:r>
            <w:r w:rsidR="00984D79" w:rsidRPr="00984D79">
              <w:rPr>
                <w:rStyle w:val="Hyperlink"/>
                <w:noProof/>
                <w:sz w:val="26"/>
                <w:szCs w:val="26"/>
              </w:rPr>
              <w:t>Conclusion</w:t>
            </w:r>
            <w:r w:rsidR="00984D79" w:rsidRPr="00984D79">
              <w:rPr>
                <w:noProof/>
                <w:webHidden/>
                <w:sz w:val="26"/>
                <w:szCs w:val="26"/>
              </w:rPr>
              <w:tab/>
            </w:r>
            <w:r w:rsidR="00984D79" w:rsidRPr="00984D79">
              <w:rPr>
                <w:noProof/>
                <w:webHidden/>
                <w:sz w:val="26"/>
                <w:szCs w:val="26"/>
              </w:rPr>
              <w:fldChar w:fldCharType="begin"/>
            </w:r>
            <w:r w:rsidR="00984D79" w:rsidRPr="00984D79">
              <w:rPr>
                <w:noProof/>
                <w:webHidden/>
                <w:sz w:val="26"/>
                <w:szCs w:val="26"/>
              </w:rPr>
              <w:instrText xml:space="preserve"> PAGEREF _Toc60912056 \h </w:instrText>
            </w:r>
            <w:r w:rsidR="00984D79" w:rsidRPr="00984D79">
              <w:rPr>
                <w:noProof/>
                <w:webHidden/>
                <w:sz w:val="26"/>
                <w:szCs w:val="26"/>
              </w:rPr>
            </w:r>
            <w:r w:rsidR="00984D79" w:rsidRPr="00984D79">
              <w:rPr>
                <w:noProof/>
                <w:webHidden/>
                <w:sz w:val="26"/>
                <w:szCs w:val="26"/>
              </w:rPr>
              <w:fldChar w:fldCharType="separate"/>
            </w:r>
            <w:r w:rsidR="00984D79" w:rsidRPr="00984D79">
              <w:rPr>
                <w:noProof/>
                <w:webHidden/>
                <w:sz w:val="26"/>
                <w:szCs w:val="26"/>
              </w:rPr>
              <w:t>99</w:t>
            </w:r>
            <w:r w:rsidR="00984D79" w:rsidRPr="00984D79">
              <w:rPr>
                <w:noProof/>
                <w:webHidden/>
                <w:sz w:val="26"/>
                <w:szCs w:val="26"/>
              </w:rPr>
              <w:fldChar w:fldCharType="end"/>
            </w:r>
          </w:hyperlink>
        </w:p>
        <w:p w14:paraId="6D32471C" w14:textId="6B8AAC19" w:rsidR="005E58E1" w:rsidRPr="00E951F4" w:rsidRDefault="005E58E1" w:rsidP="00E951F4">
          <w:pPr>
            <w:widowControl/>
            <w:rPr>
              <w:sz w:val="26"/>
              <w:szCs w:val="26"/>
            </w:rPr>
          </w:pPr>
          <w:r w:rsidRPr="00E951F4">
            <w:rPr>
              <w:b/>
              <w:bCs/>
              <w:noProof/>
              <w:sz w:val="26"/>
              <w:szCs w:val="26"/>
            </w:rPr>
            <w:fldChar w:fldCharType="end"/>
          </w:r>
        </w:p>
      </w:sdtContent>
    </w:sdt>
    <w:p w14:paraId="7133C093" w14:textId="696FB134" w:rsidR="00BA2538" w:rsidRPr="00E951F4" w:rsidRDefault="00BA2538" w:rsidP="00E951F4">
      <w:pPr>
        <w:pStyle w:val="ListParagraph"/>
        <w:ind w:left="0"/>
        <w:contextualSpacing/>
        <w:rPr>
          <w:b/>
          <w:sz w:val="26"/>
          <w:szCs w:val="26"/>
        </w:rPr>
      </w:pPr>
    </w:p>
    <w:p w14:paraId="05FF10CF" w14:textId="77777777" w:rsidR="00A13CAC" w:rsidRDefault="00A13CAC" w:rsidP="00E951F4">
      <w:pPr>
        <w:pStyle w:val="ListParagraph"/>
        <w:ind w:left="0"/>
        <w:contextualSpacing/>
        <w:rPr>
          <w:b/>
          <w:sz w:val="26"/>
          <w:szCs w:val="26"/>
        </w:rPr>
        <w:sectPr w:rsidR="00A13CAC" w:rsidSect="00A13CAC">
          <w:footerReference w:type="first" r:id="rId9"/>
          <w:pgSz w:w="12240" w:h="15840"/>
          <w:pgMar w:top="1440" w:right="1440" w:bottom="1440" w:left="1440" w:header="720" w:footer="720" w:gutter="0"/>
          <w:pgNumType w:fmt="lowerRoman" w:start="1"/>
          <w:cols w:space="720"/>
          <w:titlePg/>
          <w:docGrid w:linePitch="360"/>
        </w:sectPr>
      </w:pPr>
    </w:p>
    <w:p w14:paraId="74CDB6A4" w14:textId="4FD25F6F" w:rsidR="008077D8" w:rsidRPr="00E951F4" w:rsidRDefault="008077D8" w:rsidP="00E951F4">
      <w:pPr>
        <w:pStyle w:val="ListParagraph"/>
        <w:ind w:left="0"/>
        <w:contextualSpacing/>
        <w:rPr>
          <w:b/>
          <w:sz w:val="26"/>
          <w:szCs w:val="26"/>
        </w:rPr>
      </w:pPr>
      <w:r w:rsidRPr="00E951F4">
        <w:rPr>
          <w:b/>
          <w:sz w:val="26"/>
          <w:szCs w:val="26"/>
        </w:rPr>
        <w:lastRenderedPageBreak/>
        <w:t>BY THE COMMISSION:</w:t>
      </w:r>
    </w:p>
    <w:p w14:paraId="12E49F0D" w14:textId="26580D71" w:rsidR="008077D8" w:rsidRPr="00E951F4" w:rsidRDefault="008077D8" w:rsidP="00E951F4">
      <w:pPr>
        <w:pStyle w:val="ListParagraph"/>
        <w:keepNext/>
        <w:spacing w:line="360" w:lineRule="auto"/>
        <w:ind w:left="1080"/>
        <w:contextualSpacing/>
        <w:jc w:val="center"/>
        <w:rPr>
          <w:b/>
          <w:sz w:val="26"/>
          <w:szCs w:val="26"/>
        </w:rPr>
      </w:pPr>
    </w:p>
    <w:p w14:paraId="33961F5B" w14:textId="4941B246" w:rsidR="000A1CB4" w:rsidRPr="00E951F4" w:rsidRDefault="00432C71" w:rsidP="00E951F4">
      <w:pPr>
        <w:pStyle w:val="ListParagraph"/>
        <w:keepNext/>
        <w:spacing w:line="360" w:lineRule="auto"/>
        <w:ind w:left="0"/>
        <w:contextualSpacing/>
        <w:rPr>
          <w:sz w:val="26"/>
          <w:szCs w:val="26"/>
        </w:rPr>
      </w:pPr>
      <w:r w:rsidRPr="00E951F4">
        <w:rPr>
          <w:sz w:val="26"/>
          <w:szCs w:val="26"/>
        </w:rPr>
        <w:tab/>
      </w:r>
      <w:r w:rsidRPr="00E951F4">
        <w:rPr>
          <w:sz w:val="26"/>
          <w:szCs w:val="26"/>
        </w:rPr>
        <w:tab/>
      </w:r>
      <w:r w:rsidR="000A1CB4" w:rsidRPr="00E951F4">
        <w:rPr>
          <w:sz w:val="26"/>
          <w:szCs w:val="26"/>
        </w:rPr>
        <w:t xml:space="preserve">Before the Pennsylvania Public Utility Commission (Commission) for consideration and disposition are the </w:t>
      </w:r>
      <w:bookmarkStart w:id="0" w:name="_Hlk59539995"/>
      <w:r w:rsidR="000A1CB4" w:rsidRPr="00E951F4">
        <w:rPr>
          <w:sz w:val="26"/>
          <w:szCs w:val="26"/>
        </w:rPr>
        <w:t>Exceptions to the Recommended Decision (Recommended Decision or R.D.) of Administrative Law Judge (ALJ) Mark A. Hoyer, served on November 12, 2020, in the above-captioned proceeding.  On November</w:t>
      </w:r>
      <w:r w:rsidR="007E1594" w:rsidRPr="00E951F4">
        <w:rPr>
          <w:sz w:val="26"/>
          <w:szCs w:val="26"/>
        </w:rPr>
        <w:t> </w:t>
      </w:r>
      <w:r w:rsidR="000A1CB4" w:rsidRPr="00E951F4">
        <w:rPr>
          <w:sz w:val="26"/>
          <w:szCs w:val="26"/>
        </w:rPr>
        <w:t>23,</w:t>
      </w:r>
      <w:r w:rsidR="007E1594" w:rsidRPr="00E951F4">
        <w:rPr>
          <w:sz w:val="26"/>
          <w:szCs w:val="26"/>
        </w:rPr>
        <w:t> </w:t>
      </w:r>
      <w:r w:rsidR="000A1CB4" w:rsidRPr="00E951F4">
        <w:rPr>
          <w:sz w:val="26"/>
          <w:szCs w:val="26"/>
        </w:rPr>
        <w:t>2020, the following Parties filed Exceptions: MAREC Action (MAREC) and, collectively, Interstate Gas Supply, Inc., Shipley Choice LLC, NRG Energy, Inc., Vistra Corp., Engie Resources LLC, WGL Energy, and Direct Energy Services LLC (the EGS Parties).</w:t>
      </w:r>
      <w:bookmarkEnd w:id="0"/>
      <w:r w:rsidR="000A1CB4" w:rsidRPr="00E951F4">
        <w:rPr>
          <w:sz w:val="26"/>
          <w:szCs w:val="26"/>
        </w:rPr>
        <w:t xml:space="preserve">  On November 30, 2020, the following Parties filed Replies to Exceptions:  Duquesne Light Company (Duquesne Light</w:t>
      </w:r>
      <w:r w:rsidR="003933D4" w:rsidRPr="00E951F4">
        <w:rPr>
          <w:sz w:val="26"/>
          <w:szCs w:val="26"/>
        </w:rPr>
        <w:t xml:space="preserve"> or Company</w:t>
      </w:r>
      <w:r w:rsidR="000A1CB4" w:rsidRPr="00E951F4">
        <w:rPr>
          <w:sz w:val="26"/>
          <w:szCs w:val="26"/>
        </w:rPr>
        <w:t>), the Office of Consumer Advocate (OCA), the Coalition for Affordable Utility Services and Energy Efficiency in Pennsylvania (CAUSE-PA), the Natural Resources Defense Council (NRDC), and Calpine Retail Holdings, LLC (Calpine).  For the reasons set forth in detail herein, we shall deny the Exceptions filed by the EGS Parties and MAREC and adopt the ALJ’s Recommended Decision, as modified by this Opinion and Order.</w:t>
      </w:r>
    </w:p>
    <w:p w14:paraId="7D210BB4" w14:textId="213DACB8" w:rsidR="00432C71" w:rsidRPr="00E951F4" w:rsidRDefault="00432C71" w:rsidP="00E951F4">
      <w:pPr>
        <w:pStyle w:val="ListParagraph"/>
        <w:keepNext/>
        <w:spacing w:line="360" w:lineRule="auto"/>
        <w:ind w:left="0"/>
        <w:contextualSpacing/>
        <w:rPr>
          <w:sz w:val="26"/>
          <w:szCs w:val="26"/>
        </w:rPr>
      </w:pPr>
    </w:p>
    <w:p w14:paraId="27AB40E3" w14:textId="77777777" w:rsidR="00432C71" w:rsidRPr="00E951F4" w:rsidRDefault="00432C71" w:rsidP="00E951F4">
      <w:pPr>
        <w:pStyle w:val="Heading1"/>
        <w:ind w:left="0" w:firstLine="0"/>
      </w:pPr>
      <w:bookmarkStart w:id="1" w:name="_Toc56512749"/>
      <w:bookmarkStart w:id="2" w:name="_Toc59620117"/>
      <w:bookmarkStart w:id="3" w:name="_Toc60912013"/>
      <w:r w:rsidRPr="00E951F4">
        <w:t>Background</w:t>
      </w:r>
      <w:bookmarkEnd w:id="1"/>
      <w:bookmarkEnd w:id="2"/>
      <w:bookmarkEnd w:id="3"/>
    </w:p>
    <w:p w14:paraId="6FE50FD7" w14:textId="77777777" w:rsidR="00340F8C" w:rsidRPr="00E951F4" w:rsidRDefault="00340F8C" w:rsidP="00E951F4">
      <w:pPr>
        <w:keepNext/>
        <w:widowControl/>
        <w:spacing w:line="360" w:lineRule="auto"/>
        <w:contextualSpacing/>
        <w:rPr>
          <w:b/>
          <w:sz w:val="26"/>
          <w:szCs w:val="26"/>
        </w:rPr>
      </w:pPr>
    </w:p>
    <w:p w14:paraId="419DA0F8" w14:textId="608F772F" w:rsidR="009D5949" w:rsidRPr="00E951F4" w:rsidRDefault="00F4326B" w:rsidP="00E951F4">
      <w:pPr>
        <w:widowControl/>
        <w:spacing w:line="360" w:lineRule="auto"/>
        <w:contextualSpacing/>
        <w:rPr>
          <w:sz w:val="26"/>
          <w:szCs w:val="26"/>
        </w:rPr>
      </w:pPr>
      <w:r w:rsidRPr="00E951F4">
        <w:rPr>
          <w:sz w:val="26"/>
          <w:szCs w:val="26"/>
        </w:rPr>
        <w:tab/>
      </w:r>
      <w:r w:rsidRPr="00E951F4">
        <w:rPr>
          <w:sz w:val="26"/>
          <w:szCs w:val="26"/>
        </w:rPr>
        <w:tab/>
      </w:r>
      <w:r w:rsidR="005B72FA" w:rsidRPr="00E951F4">
        <w:rPr>
          <w:sz w:val="26"/>
          <w:szCs w:val="26"/>
        </w:rPr>
        <w:t>Duquesne Light</w:t>
      </w:r>
      <w:r w:rsidRPr="00E951F4">
        <w:rPr>
          <w:sz w:val="26"/>
          <w:szCs w:val="26"/>
        </w:rPr>
        <w:t xml:space="preserve"> is a corporation organized and existing under the laws of the Commonwealth of Pennsylvania with its principal office in P</w:t>
      </w:r>
      <w:r w:rsidR="005202CD" w:rsidRPr="00E951F4">
        <w:rPr>
          <w:sz w:val="26"/>
          <w:szCs w:val="26"/>
        </w:rPr>
        <w:t>ittsburgh</w:t>
      </w:r>
      <w:r w:rsidRPr="00E951F4">
        <w:rPr>
          <w:sz w:val="26"/>
          <w:szCs w:val="26"/>
        </w:rPr>
        <w:t xml:space="preserve">, Pennsylvania. </w:t>
      </w:r>
      <w:r w:rsidR="00AC3C62" w:rsidRPr="00E951F4">
        <w:rPr>
          <w:sz w:val="26"/>
          <w:szCs w:val="26"/>
        </w:rPr>
        <w:t xml:space="preserve"> </w:t>
      </w:r>
      <w:r w:rsidR="005B72FA" w:rsidRPr="00E951F4">
        <w:rPr>
          <w:sz w:val="26"/>
          <w:szCs w:val="26"/>
        </w:rPr>
        <w:t>Duquesne Light</w:t>
      </w:r>
      <w:r w:rsidRPr="00E951F4">
        <w:rPr>
          <w:sz w:val="26"/>
          <w:szCs w:val="26"/>
        </w:rPr>
        <w:t xml:space="preserve"> provides electric delivery service to approximately 6</w:t>
      </w:r>
      <w:r w:rsidR="005115B2" w:rsidRPr="00E951F4">
        <w:rPr>
          <w:sz w:val="26"/>
          <w:szCs w:val="26"/>
        </w:rPr>
        <w:t>0</w:t>
      </w:r>
      <w:r w:rsidR="008604CC" w:rsidRPr="00E951F4">
        <w:rPr>
          <w:sz w:val="26"/>
          <w:szCs w:val="26"/>
        </w:rPr>
        <w:t>3</w:t>
      </w:r>
      <w:r w:rsidR="005115B2" w:rsidRPr="00E951F4">
        <w:rPr>
          <w:sz w:val="26"/>
          <w:szCs w:val="26"/>
        </w:rPr>
        <w:t>,</w:t>
      </w:r>
      <w:r w:rsidR="008604CC" w:rsidRPr="00E951F4">
        <w:rPr>
          <w:sz w:val="26"/>
          <w:szCs w:val="26"/>
        </w:rPr>
        <w:t>5</w:t>
      </w:r>
      <w:r w:rsidR="005115B2" w:rsidRPr="00E951F4">
        <w:rPr>
          <w:sz w:val="26"/>
          <w:szCs w:val="26"/>
        </w:rPr>
        <w:t>00</w:t>
      </w:r>
      <w:r w:rsidRPr="00E951F4">
        <w:rPr>
          <w:sz w:val="26"/>
          <w:szCs w:val="26"/>
        </w:rPr>
        <w:t xml:space="preserve"> customers.  </w:t>
      </w:r>
      <w:r w:rsidR="00815176" w:rsidRPr="00E951F4">
        <w:rPr>
          <w:sz w:val="26"/>
          <w:szCs w:val="26"/>
        </w:rPr>
        <w:t xml:space="preserve">Duquesne Light </w:t>
      </w:r>
      <w:r w:rsidR="006A65F0" w:rsidRPr="00E951F4">
        <w:rPr>
          <w:sz w:val="26"/>
          <w:szCs w:val="26"/>
        </w:rPr>
        <w:t xml:space="preserve">is a </w:t>
      </w:r>
      <w:r w:rsidR="008D07E0" w:rsidRPr="00E951F4">
        <w:rPr>
          <w:sz w:val="26"/>
          <w:szCs w:val="26"/>
        </w:rPr>
        <w:t>p</w:t>
      </w:r>
      <w:r w:rsidR="006A65F0" w:rsidRPr="00E951F4">
        <w:rPr>
          <w:sz w:val="26"/>
          <w:szCs w:val="26"/>
        </w:rPr>
        <w:t xml:space="preserve">ublic </w:t>
      </w:r>
      <w:r w:rsidR="008D07E0" w:rsidRPr="00E951F4">
        <w:rPr>
          <w:sz w:val="26"/>
          <w:szCs w:val="26"/>
        </w:rPr>
        <w:t>u</w:t>
      </w:r>
      <w:r w:rsidR="006A65F0" w:rsidRPr="00E951F4">
        <w:rPr>
          <w:sz w:val="26"/>
          <w:szCs w:val="26"/>
        </w:rPr>
        <w:t>tility as</w:t>
      </w:r>
      <w:r w:rsidR="009D5949" w:rsidRPr="00E951F4">
        <w:rPr>
          <w:sz w:val="26"/>
          <w:szCs w:val="26"/>
        </w:rPr>
        <w:t xml:space="preserve"> that term is</w:t>
      </w:r>
      <w:r w:rsidR="006A65F0" w:rsidRPr="00E951F4">
        <w:rPr>
          <w:sz w:val="26"/>
          <w:szCs w:val="26"/>
        </w:rPr>
        <w:t xml:space="preserve"> defined in Section 102 of the Public Utility Code (Code)</w:t>
      </w:r>
      <w:r w:rsidR="009D5949" w:rsidRPr="00E951F4">
        <w:rPr>
          <w:sz w:val="26"/>
          <w:szCs w:val="26"/>
        </w:rPr>
        <w:t xml:space="preserve">, 66 Pa. C.S. § 102, and serves as an electric </w:t>
      </w:r>
      <w:r w:rsidRPr="00E951F4">
        <w:rPr>
          <w:sz w:val="26"/>
          <w:szCs w:val="26"/>
        </w:rPr>
        <w:t>distribution company (EDC) and a default service provider</w:t>
      </w:r>
      <w:r w:rsidR="009D5949" w:rsidRPr="00E951F4">
        <w:rPr>
          <w:sz w:val="26"/>
          <w:szCs w:val="26"/>
        </w:rPr>
        <w:t xml:space="preserve"> (DSP) as those terms are defined in Section 2803 of the Code, 66</w:t>
      </w:r>
      <w:r w:rsidR="001953F3" w:rsidRPr="00E951F4">
        <w:rPr>
          <w:sz w:val="26"/>
          <w:szCs w:val="26"/>
        </w:rPr>
        <w:t> </w:t>
      </w:r>
      <w:r w:rsidR="009D5949" w:rsidRPr="00E951F4">
        <w:rPr>
          <w:sz w:val="26"/>
          <w:szCs w:val="26"/>
        </w:rPr>
        <w:t>Pa.</w:t>
      </w:r>
      <w:r w:rsidR="001953F3" w:rsidRPr="00E951F4">
        <w:rPr>
          <w:sz w:val="26"/>
          <w:szCs w:val="26"/>
        </w:rPr>
        <w:t> </w:t>
      </w:r>
      <w:r w:rsidR="009D5949" w:rsidRPr="00E951F4">
        <w:rPr>
          <w:sz w:val="26"/>
          <w:szCs w:val="26"/>
        </w:rPr>
        <w:t>C.S. § 2803.</w:t>
      </w:r>
    </w:p>
    <w:p w14:paraId="0BE88F53" w14:textId="77777777" w:rsidR="009717E7" w:rsidRPr="00E951F4" w:rsidRDefault="009717E7" w:rsidP="00E951F4">
      <w:pPr>
        <w:widowControl/>
        <w:spacing w:line="360" w:lineRule="auto"/>
        <w:contextualSpacing/>
        <w:rPr>
          <w:sz w:val="26"/>
          <w:szCs w:val="26"/>
        </w:rPr>
      </w:pPr>
    </w:p>
    <w:p w14:paraId="59577A0D" w14:textId="0FDBED76" w:rsidR="00340F8C" w:rsidRPr="00E951F4" w:rsidRDefault="00340F8C" w:rsidP="00E951F4">
      <w:pPr>
        <w:pStyle w:val="Heading1"/>
        <w:keepNext/>
        <w:ind w:left="0" w:firstLine="0"/>
        <w:rPr>
          <w:caps/>
        </w:rPr>
      </w:pPr>
      <w:bookmarkStart w:id="4" w:name="_Toc56512750"/>
      <w:bookmarkStart w:id="5" w:name="_Toc59620118"/>
      <w:bookmarkStart w:id="6" w:name="_Toc60912014"/>
      <w:r w:rsidRPr="00E951F4">
        <w:lastRenderedPageBreak/>
        <w:t>History of the Proceeding</w:t>
      </w:r>
      <w:bookmarkEnd w:id="4"/>
      <w:bookmarkEnd w:id="5"/>
      <w:bookmarkEnd w:id="6"/>
    </w:p>
    <w:p w14:paraId="529C26EB" w14:textId="4B8DD64B" w:rsidR="00CA55ED" w:rsidRPr="00E951F4" w:rsidRDefault="00CA55ED" w:rsidP="00E951F4">
      <w:pPr>
        <w:pStyle w:val="BodyText2"/>
        <w:keepNext/>
        <w:widowControl/>
        <w:spacing w:after="0" w:line="360" w:lineRule="auto"/>
        <w:rPr>
          <w:sz w:val="26"/>
          <w:szCs w:val="26"/>
        </w:rPr>
      </w:pPr>
    </w:p>
    <w:p w14:paraId="4957E580" w14:textId="1A3F00EC" w:rsidR="0062423A" w:rsidRPr="00E951F4" w:rsidRDefault="00BA6144" w:rsidP="00E951F4">
      <w:pPr>
        <w:keepNext/>
        <w:widowControl/>
        <w:spacing w:line="360" w:lineRule="auto"/>
        <w:ind w:firstLine="1440"/>
        <w:contextualSpacing/>
        <w:rPr>
          <w:sz w:val="26"/>
          <w:szCs w:val="26"/>
        </w:rPr>
      </w:pPr>
      <w:r w:rsidRPr="00E951F4">
        <w:rPr>
          <w:sz w:val="26"/>
          <w:szCs w:val="26"/>
        </w:rPr>
        <w:t xml:space="preserve">On April 20, 2020, Duquesne Light filed the Petition </w:t>
      </w:r>
      <w:r w:rsidR="0069033D" w:rsidRPr="00E951F4">
        <w:rPr>
          <w:sz w:val="26"/>
          <w:szCs w:val="26"/>
        </w:rPr>
        <w:t xml:space="preserve">of Duquesne Light Company for Approval of its </w:t>
      </w:r>
      <w:r w:rsidR="00CA63F6" w:rsidRPr="00E951F4">
        <w:rPr>
          <w:sz w:val="26"/>
          <w:szCs w:val="26"/>
        </w:rPr>
        <w:t xml:space="preserve">Default Service Plan </w:t>
      </w:r>
      <w:r w:rsidR="005809A5" w:rsidRPr="00E951F4">
        <w:rPr>
          <w:sz w:val="26"/>
          <w:szCs w:val="26"/>
        </w:rPr>
        <w:t>(DSP IX</w:t>
      </w:r>
      <w:r w:rsidR="0006001C" w:rsidRPr="00E951F4">
        <w:rPr>
          <w:sz w:val="26"/>
          <w:szCs w:val="26"/>
        </w:rPr>
        <w:t xml:space="preserve"> or Default Service Plan</w:t>
      </w:r>
      <w:r w:rsidR="004E13BE" w:rsidRPr="00E951F4">
        <w:rPr>
          <w:sz w:val="26"/>
          <w:szCs w:val="26"/>
        </w:rPr>
        <w:t xml:space="preserve">) </w:t>
      </w:r>
      <w:r w:rsidR="0090659E" w:rsidRPr="00E951F4">
        <w:rPr>
          <w:sz w:val="26"/>
          <w:szCs w:val="26"/>
        </w:rPr>
        <w:t>for the Period from June 1, 2021 through May 31, 2025</w:t>
      </w:r>
      <w:r w:rsidR="009262CA" w:rsidRPr="00E951F4">
        <w:rPr>
          <w:sz w:val="26"/>
          <w:szCs w:val="26"/>
        </w:rPr>
        <w:t xml:space="preserve"> (Petition</w:t>
      </w:r>
      <w:r w:rsidR="009007D0" w:rsidRPr="00E951F4">
        <w:rPr>
          <w:sz w:val="26"/>
          <w:szCs w:val="26"/>
        </w:rPr>
        <w:t xml:space="preserve"> or DSP IX Petition</w:t>
      </w:r>
      <w:r w:rsidR="009262CA" w:rsidRPr="00E951F4">
        <w:rPr>
          <w:sz w:val="26"/>
          <w:szCs w:val="26"/>
        </w:rPr>
        <w:t xml:space="preserve">), following the </w:t>
      </w:r>
      <w:r w:rsidR="0032241D" w:rsidRPr="00E951F4">
        <w:rPr>
          <w:sz w:val="26"/>
          <w:szCs w:val="26"/>
        </w:rPr>
        <w:t xml:space="preserve">expiration of its current default service program </w:t>
      </w:r>
      <w:r w:rsidR="00963984" w:rsidRPr="00E951F4">
        <w:rPr>
          <w:sz w:val="26"/>
          <w:szCs w:val="26"/>
        </w:rPr>
        <w:t xml:space="preserve">(DSP </w:t>
      </w:r>
      <w:r w:rsidR="008C65EE" w:rsidRPr="00E951F4">
        <w:rPr>
          <w:sz w:val="26"/>
          <w:szCs w:val="26"/>
        </w:rPr>
        <w:t>V</w:t>
      </w:r>
      <w:r w:rsidR="001C2CE0" w:rsidRPr="00E951F4">
        <w:rPr>
          <w:sz w:val="26"/>
          <w:szCs w:val="26"/>
        </w:rPr>
        <w:t>III)</w:t>
      </w:r>
      <w:r w:rsidR="00534626" w:rsidRPr="00E951F4">
        <w:rPr>
          <w:sz w:val="26"/>
          <w:szCs w:val="26"/>
        </w:rPr>
        <w:t xml:space="preserve">, </w:t>
      </w:r>
      <w:r w:rsidR="0049466E" w:rsidRPr="00E951F4">
        <w:rPr>
          <w:i/>
          <w:iCs/>
          <w:sz w:val="26"/>
          <w:szCs w:val="26"/>
        </w:rPr>
        <w:t xml:space="preserve">Petition of </w:t>
      </w:r>
      <w:r w:rsidR="00523497" w:rsidRPr="00E951F4">
        <w:rPr>
          <w:i/>
          <w:iCs/>
          <w:sz w:val="26"/>
          <w:szCs w:val="26"/>
        </w:rPr>
        <w:t xml:space="preserve">Duquesne Light Company for Approval of Default Service Plan for the </w:t>
      </w:r>
      <w:r w:rsidR="000D198C" w:rsidRPr="00E951F4">
        <w:rPr>
          <w:i/>
          <w:iCs/>
          <w:sz w:val="26"/>
          <w:szCs w:val="26"/>
        </w:rPr>
        <w:t>Period June</w:t>
      </w:r>
      <w:r w:rsidR="00E951F4" w:rsidRPr="00E951F4">
        <w:rPr>
          <w:i/>
          <w:iCs/>
          <w:sz w:val="26"/>
          <w:szCs w:val="26"/>
        </w:rPr>
        <w:t> </w:t>
      </w:r>
      <w:r w:rsidR="000D198C" w:rsidRPr="00E951F4">
        <w:rPr>
          <w:i/>
          <w:iCs/>
          <w:sz w:val="26"/>
          <w:szCs w:val="26"/>
        </w:rPr>
        <w:t>1,</w:t>
      </w:r>
      <w:r w:rsidR="00E951F4" w:rsidRPr="00E951F4">
        <w:rPr>
          <w:i/>
          <w:iCs/>
          <w:sz w:val="26"/>
          <w:szCs w:val="26"/>
        </w:rPr>
        <w:t> </w:t>
      </w:r>
      <w:r w:rsidR="000D198C" w:rsidRPr="00E951F4">
        <w:rPr>
          <w:i/>
          <w:iCs/>
          <w:sz w:val="26"/>
          <w:szCs w:val="26"/>
        </w:rPr>
        <w:t>2017 Through May 31, 2021</w:t>
      </w:r>
      <w:r w:rsidR="00715642" w:rsidRPr="00E951F4">
        <w:rPr>
          <w:sz w:val="26"/>
          <w:szCs w:val="26"/>
        </w:rPr>
        <w:t xml:space="preserve"> </w:t>
      </w:r>
      <w:r w:rsidR="00F24FFA" w:rsidRPr="00E951F4">
        <w:rPr>
          <w:sz w:val="26"/>
          <w:szCs w:val="26"/>
        </w:rPr>
        <w:t>(</w:t>
      </w:r>
      <w:r w:rsidR="00F24FFA" w:rsidRPr="00E951F4">
        <w:rPr>
          <w:i/>
          <w:iCs/>
          <w:sz w:val="26"/>
          <w:szCs w:val="26"/>
        </w:rPr>
        <w:t>DSP VIII Order</w:t>
      </w:r>
      <w:r w:rsidR="00F24FFA" w:rsidRPr="00E951F4">
        <w:rPr>
          <w:sz w:val="26"/>
          <w:szCs w:val="26"/>
        </w:rPr>
        <w:t xml:space="preserve">), </w:t>
      </w:r>
      <w:r w:rsidR="00715642" w:rsidRPr="00E951F4">
        <w:rPr>
          <w:sz w:val="26"/>
          <w:szCs w:val="26"/>
        </w:rPr>
        <w:t xml:space="preserve">Docket No. P-2016-2543140 (Order entered </w:t>
      </w:r>
      <w:r w:rsidR="003B5FF7" w:rsidRPr="00E951F4">
        <w:rPr>
          <w:sz w:val="26"/>
          <w:szCs w:val="26"/>
        </w:rPr>
        <w:t>December 22, 2016)</w:t>
      </w:r>
      <w:r w:rsidR="001C2CE0" w:rsidRPr="00E951F4">
        <w:rPr>
          <w:sz w:val="26"/>
          <w:szCs w:val="26"/>
        </w:rPr>
        <w:t xml:space="preserve">. </w:t>
      </w:r>
      <w:r w:rsidR="00A2651F" w:rsidRPr="00E951F4">
        <w:rPr>
          <w:sz w:val="26"/>
          <w:szCs w:val="26"/>
        </w:rPr>
        <w:t xml:space="preserve"> </w:t>
      </w:r>
      <w:r w:rsidR="0062423A" w:rsidRPr="00E951F4">
        <w:rPr>
          <w:sz w:val="26"/>
          <w:szCs w:val="26"/>
        </w:rPr>
        <w:t>The Petition was filed pursuant to 66 Pa. C.S. §</w:t>
      </w:r>
      <w:r w:rsidR="00E951F4" w:rsidRPr="00E951F4">
        <w:rPr>
          <w:sz w:val="26"/>
          <w:szCs w:val="26"/>
        </w:rPr>
        <w:t> </w:t>
      </w:r>
      <w:r w:rsidR="0062423A" w:rsidRPr="00E951F4">
        <w:rPr>
          <w:sz w:val="26"/>
          <w:szCs w:val="26"/>
        </w:rPr>
        <w:t>2807, the Commission’s Default Service Regulations at 52 Pa. Code §§ 54.181-190, and the Commission’s Policy Statement on Default Service at 52 Pa. Code §§</w:t>
      </w:r>
      <w:r w:rsidR="00E951F4" w:rsidRPr="00E951F4">
        <w:rPr>
          <w:sz w:val="26"/>
          <w:szCs w:val="26"/>
        </w:rPr>
        <w:t> </w:t>
      </w:r>
      <w:r w:rsidR="0062423A" w:rsidRPr="00E951F4">
        <w:rPr>
          <w:sz w:val="26"/>
          <w:szCs w:val="26"/>
        </w:rPr>
        <w:t>69.1801</w:t>
      </w:r>
      <w:r w:rsidR="00E951F4" w:rsidRPr="00E951F4">
        <w:rPr>
          <w:sz w:val="26"/>
          <w:szCs w:val="26"/>
        </w:rPr>
        <w:noBreakHyphen/>
      </w:r>
      <w:r w:rsidR="0062423A" w:rsidRPr="00E951F4">
        <w:rPr>
          <w:sz w:val="26"/>
          <w:szCs w:val="26"/>
        </w:rPr>
        <w:t>1817.  Petition at 1</w:t>
      </w:r>
      <w:r w:rsidR="001A6AB8" w:rsidRPr="00E951F4">
        <w:rPr>
          <w:sz w:val="26"/>
          <w:szCs w:val="26"/>
        </w:rPr>
        <w:t>, 2</w:t>
      </w:r>
      <w:r w:rsidR="0062423A" w:rsidRPr="00E951F4">
        <w:rPr>
          <w:sz w:val="26"/>
          <w:szCs w:val="26"/>
        </w:rPr>
        <w:t>.  The applicable statute requires that the Commission issue its decision on this matter no later than nine months after the filing date of the proposed DSP, or</w:t>
      </w:r>
      <w:r w:rsidR="0075413D" w:rsidRPr="00E951F4">
        <w:rPr>
          <w:sz w:val="26"/>
          <w:szCs w:val="26"/>
        </w:rPr>
        <w:t>,</w:t>
      </w:r>
      <w:r w:rsidR="0062423A" w:rsidRPr="00E951F4">
        <w:rPr>
          <w:sz w:val="26"/>
          <w:szCs w:val="26"/>
        </w:rPr>
        <w:t xml:space="preserve"> in this case</w:t>
      </w:r>
      <w:r w:rsidR="0075413D" w:rsidRPr="00E951F4">
        <w:rPr>
          <w:sz w:val="26"/>
          <w:szCs w:val="26"/>
        </w:rPr>
        <w:t>,</w:t>
      </w:r>
      <w:r w:rsidR="0062423A" w:rsidRPr="00E951F4">
        <w:rPr>
          <w:sz w:val="26"/>
          <w:szCs w:val="26"/>
        </w:rPr>
        <w:t xml:space="preserve"> on or before </w:t>
      </w:r>
      <w:r w:rsidR="00CF75C0" w:rsidRPr="00E951F4">
        <w:rPr>
          <w:sz w:val="26"/>
          <w:szCs w:val="26"/>
        </w:rPr>
        <w:t>January 20</w:t>
      </w:r>
      <w:r w:rsidR="0062423A" w:rsidRPr="00E951F4">
        <w:rPr>
          <w:sz w:val="26"/>
          <w:szCs w:val="26"/>
        </w:rPr>
        <w:t>, 202</w:t>
      </w:r>
      <w:r w:rsidR="001F047C" w:rsidRPr="00E951F4">
        <w:rPr>
          <w:sz w:val="26"/>
          <w:szCs w:val="26"/>
        </w:rPr>
        <w:t>1</w:t>
      </w:r>
      <w:r w:rsidR="0062423A" w:rsidRPr="00E951F4">
        <w:rPr>
          <w:sz w:val="26"/>
          <w:szCs w:val="26"/>
        </w:rPr>
        <w:t>.  66 Pa. C.S. §</w:t>
      </w:r>
      <w:r w:rsidR="00E951F4" w:rsidRPr="00E951F4">
        <w:rPr>
          <w:sz w:val="26"/>
          <w:szCs w:val="26"/>
        </w:rPr>
        <w:t> </w:t>
      </w:r>
      <w:r w:rsidR="0062423A" w:rsidRPr="00E951F4">
        <w:rPr>
          <w:sz w:val="26"/>
          <w:szCs w:val="26"/>
        </w:rPr>
        <w:t>2807(e)(3.6).</w:t>
      </w:r>
    </w:p>
    <w:p w14:paraId="1519E031" w14:textId="4C0C2CC0" w:rsidR="00BA6144" w:rsidRPr="00E951F4" w:rsidRDefault="00BA6144" w:rsidP="00E951F4">
      <w:pPr>
        <w:widowControl/>
        <w:spacing w:line="360" w:lineRule="auto"/>
        <w:ind w:firstLine="1440"/>
        <w:contextualSpacing/>
        <w:rPr>
          <w:sz w:val="26"/>
          <w:szCs w:val="26"/>
        </w:rPr>
      </w:pPr>
    </w:p>
    <w:p w14:paraId="4A663BCD" w14:textId="4F932B51" w:rsidR="00BA6144" w:rsidRPr="00E951F4" w:rsidRDefault="00BA6144" w:rsidP="00E951F4">
      <w:pPr>
        <w:widowControl/>
        <w:kinsoku w:val="0"/>
        <w:overflowPunct w:val="0"/>
        <w:spacing w:line="360" w:lineRule="auto"/>
        <w:ind w:left="72" w:right="216" w:firstLine="1440"/>
        <w:textAlignment w:val="baseline"/>
        <w:rPr>
          <w:sz w:val="26"/>
          <w:szCs w:val="26"/>
        </w:rPr>
      </w:pPr>
      <w:r w:rsidRPr="00E951F4">
        <w:rPr>
          <w:sz w:val="26"/>
          <w:szCs w:val="26"/>
        </w:rPr>
        <w:t>In the Default Service Plan, Duquesne Light proposes to continue separate default supply procurements for: (1) Residential and Lighting customers, (2)</w:t>
      </w:r>
      <w:r w:rsidR="006333F7">
        <w:rPr>
          <w:sz w:val="26"/>
          <w:szCs w:val="26"/>
        </w:rPr>
        <w:t> </w:t>
      </w:r>
      <w:r w:rsidRPr="00E951F4">
        <w:rPr>
          <w:sz w:val="26"/>
          <w:szCs w:val="26"/>
        </w:rPr>
        <w:t>Small Commercial</w:t>
      </w:r>
      <w:r w:rsidR="0066658B" w:rsidRPr="00E951F4">
        <w:rPr>
          <w:sz w:val="26"/>
          <w:szCs w:val="26"/>
        </w:rPr>
        <w:t xml:space="preserve"> </w:t>
      </w:r>
      <w:r w:rsidR="00F97825" w:rsidRPr="00E951F4">
        <w:rPr>
          <w:sz w:val="26"/>
          <w:szCs w:val="26"/>
        </w:rPr>
        <w:t>and</w:t>
      </w:r>
      <w:r w:rsidRPr="00E951F4">
        <w:rPr>
          <w:sz w:val="26"/>
          <w:szCs w:val="26"/>
        </w:rPr>
        <w:t xml:space="preserve"> Industrial (</w:t>
      </w:r>
      <w:r w:rsidR="00086A15" w:rsidRPr="00E951F4">
        <w:rPr>
          <w:sz w:val="26"/>
          <w:szCs w:val="26"/>
        </w:rPr>
        <w:t xml:space="preserve">Small </w:t>
      </w:r>
      <w:r w:rsidRPr="00E951F4">
        <w:rPr>
          <w:sz w:val="26"/>
          <w:szCs w:val="26"/>
        </w:rPr>
        <w:t>C&amp;I) customers, (3) Medium C</w:t>
      </w:r>
      <w:r w:rsidR="006227D1" w:rsidRPr="00E951F4">
        <w:rPr>
          <w:sz w:val="26"/>
          <w:szCs w:val="26"/>
        </w:rPr>
        <w:t xml:space="preserve">ommercial </w:t>
      </w:r>
      <w:r w:rsidR="00F97825" w:rsidRPr="00E951F4">
        <w:rPr>
          <w:sz w:val="26"/>
          <w:szCs w:val="26"/>
        </w:rPr>
        <w:t>and</w:t>
      </w:r>
      <w:r w:rsidR="006227D1" w:rsidRPr="00E951F4">
        <w:rPr>
          <w:sz w:val="26"/>
          <w:szCs w:val="26"/>
        </w:rPr>
        <w:t xml:space="preserve"> Industrial </w:t>
      </w:r>
      <w:r w:rsidRPr="00E951F4">
        <w:rPr>
          <w:sz w:val="26"/>
          <w:szCs w:val="26"/>
        </w:rPr>
        <w:t>customers with demands under 200 kW (Medium C&amp;I &lt;200</w:t>
      </w:r>
      <w:r w:rsidR="00C46BAF" w:rsidRPr="00E951F4">
        <w:rPr>
          <w:sz w:val="26"/>
          <w:szCs w:val="26"/>
        </w:rPr>
        <w:t xml:space="preserve"> </w:t>
      </w:r>
      <w:r w:rsidRPr="00E951F4">
        <w:rPr>
          <w:sz w:val="26"/>
          <w:szCs w:val="26"/>
        </w:rPr>
        <w:t>kW), and (4)</w:t>
      </w:r>
      <w:r w:rsidR="007E1594" w:rsidRPr="00E951F4">
        <w:rPr>
          <w:sz w:val="26"/>
          <w:szCs w:val="26"/>
        </w:rPr>
        <w:t> </w:t>
      </w:r>
      <w:r w:rsidR="0079656B" w:rsidRPr="00E951F4">
        <w:rPr>
          <w:sz w:val="26"/>
          <w:szCs w:val="26"/>
        </w:rPr>
        <w:t>Hourly Price Service</w:t>
      </w:r>
      <w:r w:rsidR="00C243F8" w:rsidRPr="00E951F4">
        <w:rPr>
          <w:sz w:val="26"/>
          <w:szCs w:val="26"/>
        </w:rPr>
        <w:t xml:space="preserve"> (HPS) for </w:t>
      </w:r>
      <w:r w:rsidRPr="00E951F4">
        <w:rPr>
          <w:sz w:val="26"/>
          <w:szCs w:val="26"/>
        </w:rPr>
        <w:t xml:space="preserve">Medium C&amp;I customers with </w:t>
      </w:r>
      <w:r w:rsidR="006063AE" w:rsidRPr="00E951F4">
        <w:rPr>
          <w:sz w:val="26"/>
          <w:szCs w:val="26"/>
        </w:rPr>
        <w:t xml:space="preserve">monthly metered </w:t>
      </w:r>
      <w:r w:rsidRPr="00E951F4">
        <w:rPr>
          <w:sz w:val="26"/>
          <w:szCs w:val="26"/>
        </w:rPr>
        <w:t>demand equal to or greater than 200 kW and Large C</w:t>
      </w:r>
      <w:r w:rsidR="0009260D" w:rsidRPr="00E951F4">
        <w:rPr>
          <w:sz w:val="26"/>
          <w:szCs w:val="26"/>
        </w:rPr>
        <w:t xml:space="preserve">ommercial </w:t>
      </w:r>
      <w:r w:rsidR="00F97825" w:rsidRPr="00E951F4">
        <w:rPr>
          <w:sz w:val="26"/>
          <w:szCs w:val="26"/>
        </w:rPr>
        <w:t>and</w:t>
      </w:r>
      <w:r w:rsidR="00C622EF" w:rsidRPr="00E951F4">
        <w:rPr>
          <w:sz w:val="26"/>
          <w:szCs w:val="26"/>
        </w:rPr>
        <w:t xml:space="preserve"> Industrial (</w:t>
      </w:r>
      <w:r w:rsidR="0066658B" w:rsidRPr="00E951F4">
        <w:rPr>
          <w:sz w:val="26"/>
          <w:szCs w:val="26"/>
        </w:rPr>
        <w:t>Large C&amp;I)</w:t>
      </w:r>
      <w:r w:rsidR="00F97825" w:rsidRPr="00E951F4">
        <w:rPr>
          <w:sz w:val="26"/>
          <w:szCs w:val="26"/>
        </w:rPr>
        <w:t xml:space="preserve"> </w:t>
      </w:r>
      <w:r w:rsidR="009A1BDA" w:rsidRPr="00E951F4">
        <w:rPr>
          <w:sz w:val="26"/>
          <w:szCs w:val="26"/>
        </w:rPr>
        <w:t xml:space="preserve">customers </w:t>
      </w:r>
      <w:r w:rsidRPr="00E951F4">
        <w:rPr>
          <w:sz w:val="26"/>
          <w:szCs w:val="26"/>
        </w:rPr>
        <w:t xml:space="preserve">(collectively, HPS-Eligible). </w:t>
      </w:r>
      <w:r w:rsidR="00F97825" w:rsidRPr="00E951F4">
        <w:rPr>
          <w:sz w:val="26"/>
          <w:szCs w:val="26"/>
        </w:rPr>
        <w:t xml:space="preserve"> Petition at 3-4.  </w:t>
      </w:r>
      <w:r w:rsidRPr="00E951F4">
        <w:rPr>
          <w:sz w:val="26"/>
          <w:szCs w:val="26"/>
        </w:rPr>
        <w:t>Duquesne Light proposes to procure supplies for Residential and Lighting and Small C&amp;I customers through the combination of twelve</w:t>
      </w:r>
      <w:r w:rsidR="00896929" w:rsidRPr="00E951F4">
        <w:rPr>
          <w:sz w:val="26"/>
          <w:szCs w:val="26"/>
        </w:rPr>
        <w:t>-</w:t>
      </w:r>
      <w:r w:rsidRPr="00E951F4">
        <w:rPr>
          <w:sz w:val="26"/>
          <w:szCs w:val="26"/>
        </w:rPr>
        <w:t xml:space="preserve"> and twenty-four month fixed price, full requirements, laddered contracts. </w:t>
      </w:r>
      <w:r w:rsidR="0015252F" w:rsidRPr="00E951F4">
        <w:rPr>
          <w:sz w:val="26"/>
          <w:szCs w:val="26"/>
        </w:rPr>
        <w:t xml:space="preserve"> </w:t>
      </w:r>
      <w:r w:rsidR="00507EA4" w:rsidRPr="00E951F4">
        <w:rPr>
          <w:i/>
          <w:iCs/>
          <w:sz w:val="26"/>
          <w:szCs w:val="26"/>
        </w:rPr>
        <w:t>Id</w:t>
      </w:r>
      <w:r w:rsidR="00507EA4" w:rsidRPr="00E951F4">
        <w:rPr>
          <w:sz w:val="26"/>
          <w:szCs w:val="26"/>
        </w:rPr>
        <w:t>. at 4</w:t>
      </w:r>
      <w:r w:rsidR="00C57847" w:rsidRPr="00E951F4">
        <w:rPr>
          <w:sz w:val="26"/>
          <w:szCs w:val="26"/>
        </w:rPr>
        <w:t>, 7</w:t>
      </w:r>
      <w:r w:rsidR="00507EA4" w:rsidRPr="00E951F4">
        <w:rPr>
          <w:sz w:val="26"/>
          <w:szCs w:val="26"/>
        </w:rPr>
        <w:t xml:space="preserve">. </w:t>
      </w:r>
      <w:r w:rsidR="009760FA" w:rsidRPr="00E951F4">
        <w:rPr>
          <w:sz w:val="26"/>
          <w:szCs w:val="26"/>
        </w:rPr>
        <w:t xml:space="preserve"> </w:t>
      </w:r>
      <w:r w:rsidRPr="00E951F4">
        <w:rPr>
          <w:sz w:val="26"/>
          <w:szCs w:val="26"/>
        </w:rPr>
        <w:t>Duquesne Light will continue to supply Medium C&amp;I &lt;200</w:t>
      </w:r>
      <w:r w:rsidR="003234D8" w:rsidRPr="00E951F4">
        <w:rPr>
          <w:sz w:val="26"/>
          <w:szCs w:val="26"/>
        </w:rPr>
        <w:t xml:space="preserve"> </w:t>
      </w:r>
      <w:r w:rsidRPr="00E951F4">
        <w:rPr>
          <w:sz w:val="26"/>
          <w:szCs w:val="26"/>
        </w:rPr>
        <w:t>kW default service customers through fixed-price full</w:t>
      </w:r>
      <w:r w:rsidR="00C57847" w:rsidRPr="00E951F4">
        <w:rPr>
          <w:sz w:val="26"/>
          <w:szCs w:val="26"/>
        </w:rPr>
        <w:t xml:space="preserve"> </w:t>
      </w:r>
      <w:r w:rsidRPr="00E951F4">
        <w:rPr>
          <w:sz w:val="26"/>
          <w:szCs w:val="26"/>
        </w:rPr>
        <w:t xml:space="preserve">requirements supply contracts with three-month terms from third-party suppliers with no laddering. </w:t>
      </w:r>
      <w:r w:rsidR="00C57847" w:rsidRPr="00E951F4">
        <w:rPr>
          <w:sz w:val="26"/>
          <w:szCs w:val="26"/>
        </w:rPr>
        <w:t xml:space="preserve"> </w:t>
      </w:r>
      <w:r w:rsidR="003126E4" w:rsidRPr="00E951F4">
        <w:rPr>
          <w:i/>
          <w:iCs/>
          <w:sz w:val="26"/>
          <w:szCs w:val="26"/>
        </w:rPr>
        <w:t>Id</w:t>
      </w:r>
      <w:r w:rsidR="003126E4" w:rsidRPr="00E951F4">
        <w:rPr>
          <w:sz w:val="26"/>
          <w:szCs w:val="26"/>
        </w:rPr>
        <w:t xml:space="preserve">. at 8.  </w:t>
      </w:r>
      <w:r w:rsidRPr="00E951F4">
        <w:rPr>
          <w:sz w:val="26"/>
          <w:szCs w:val="26"/>
        </w:rPr>
        <w:t xml:space="preserve">Duquesne Light proposes to continue to procure supply for </w:t>
      </w:r>
      <w:r w:rsidRPr="00E951F4">
        <w:rPr>
          <w:sz w:val="26"/>
          <w:szCs w:val="26"/>
        </w:rPr>
        <w:lastRenderedPageBreak/>
        <w:t xml:space="preserve">HPS-Eligible default service customers through the day-ahead PJM energy market prices. </w:t>
      </w:r>
      <w:r w:rsidR="003126E4" w:rsidRPr="00E951F4">
        <w:rPr>
          <w:sz w:val="26"/>
          <w:szCs w:val="26"/>
        </w:rPr>
        <w:t xml:space="preserve"> </w:t>
      </w:r>
      <w:r w:rsidRPr="00E951F4">
        <w:rPr>
          <w:sz w:val="26"/>
          <w:szCs w:val="26"/>
        </w:rPr>
        <w:t>Duquesne Light proposes to continue the current structure and administration for HPS customers, to conduct a R</w:t>
      </w:r>
      <w:r w:rsidR="000F4EC9" w:rsidRPr="00E951F4">
        <w:rPr>
          <w:sz w:val="26"/>
          <w:szCs w:val="26"/>
        </w:rPr>
        <w:t xml:space="preserve">equest </w:t>
      </w:r>
      <w:r w:rsidRPr="00E951F4">
        <w:rPr>
          <w:sz w:val="26"/>
          <w:szCs w:val="26"/>
        </w:rPr>
        <w:t>F</w:t>
      </w:r>
      <w:r w:rsidR="000F4EC9" w:rsidRPr="00E951F4">
        <w:rPr>
          <w:sz w:val="26"/>
          <w:szCs w:val="26"/>
        </w:rPr>
        <w:t xml:space="preserve">or </w:t>
      </w:r>
      <w:r w:rsidRPr="00E951F4">
        <w:rPr>
          <w:sz w:val="26"/>
          <w:szCs w:val="26"/>
        </w:rPr>
        <w:t>P</w:t>
      </w:r>
      <w:r w:rsidR="000F4EC9" w:rsidRPr="00E951F4">
        <w:rPr>
          <w:sz w:val="26"/>
          <w:szCs w:val="26"/>
        </w:rPr>
        <w:t>roposal (RFP)</w:t>
      </w:r>
      <w:r w:rsidRPr="00E951F4">
        <w:rPr>
          <w:sz w:val="26"/>
          <w:szCs w:val="26"/>
        </w:rPr>
        <w:t xml:space="preserve"> to supply HPS customers, and to preserve the demand threshold for HPS at </w:t>
      </w:r>
      <w:r w:rsidRPr="00E951F4">
        <w:rPr>
          <w:sz w:val="26"/>
          <w:szCs w:val="26"/>
        </w:rPr>
        <w:sym w:font="Symbol" w:char="F0B3"/>
      </w:r>
      <w:r w:rsidRPr="00E951F4">
        <w:rPr>
          <w:sz w:val="26"/>
          <w:szCs w:val="26"/>
        </w:rPr>
        <w:t xml:space="preserve"> 200kW.</w:t>
      </w:r>
      <w:r w:rsidR="00EE375F" w:rsidRPr="00E951F4">
        <w:rPr>
          <w:sz w:val="26"/>
          <w:szCs w:val="26"/>
        </w:rPr>
        <w:t xml:space="preserve">  </w:t>
      </w:r>
      <w:r w:rsidR="00EE375F" w:rsidRPr="00E951F4">
        <w:rPr>
          <w:i/>
          <w:iCs/>
          <w:sz w:val="26"/>
          <w:szCs w:val="26"/>
        </w:rPr>
        <w:t>Id</w:t>
      </w:r>
      <w:r w:rsidR="00EE375F" w:rsidRPr="00E951F4">
        <w:rPr>
          <w:sz w:val="26"/>
          <w:szCs w:val="26"/>
        </w:rPr>
        <w:t xml:space="preserve">. at 10.  </w:t>
      </w:r>
    </w:p>
    <w:p w14:paraId="6E3E8C91" w14:textId="77777777" w:rsidR="006E7C0C" w:rsidRPr="00E951F4" w:rsidRDefault="006E7C0C" w:rsidP="00E951F4">
      <w:pPr>
        <w:widowControl/>
        <w:kinsoku w:val="0"/>
        <w:overflowPunct w:val="0"/>
        <w:spacing w:line="360" w:lineRule="auto"/>
        <w:ind w:left="72" w:right="216" w:firstLine="1440"/>
        <w:textAlignment w:val="baseline"/>
        <w:rPr>
          <w:sz w:val="26"/>
          <w:szCs w:val="26"/>
        </w:rPr>
      </w:pPr>
    </w:p>
    <w:p w14:paraId="4F111372" w14:textId="4C9A343C" w:rsidR="00BA6144" w:rsidRPr="00E951F4" w:rsidRDefault="00BA6144" w:rsidP="00E951F4">
      <w:pPr>
        <w:widowControl/>
        <w:kinsoku w:val="0"/>
        <w:overflowPunct w:val="0"/>
        <w:spacing w:line="360" w:lineRule="auto"/>
        <w:ind w:right="144" w:firstLine="1440"/>
        <w:textAlignment w:val="baseline"/>
        <w:rPr>
          <w:sz w:val="26"/>
          <w:szCs w:val="26"/>
        </w:rPr>
      </w:pPr>
      <w:r w:rsidRPr="00E951F4">
        <w:rPr>
          <w:sz w:val="26"/>
          <w:szCs w:val="26"/>
        </w:rPr>
        <w:t>In the Default Service Plan, Duquesne Light also proposes to</w:t>
      </w:r>
      <w:r w:rsidR="00FA7363" w:rsidRPr="00E951F4">
        <w:rPr>
          <w:sz w:val="26"/>
          <w:szCs w:val="26"/>
        </w:rPr>
        <w:t>:</w:t>
      </w:r>
      <w:r w:rsidRPr="00E951F4">
        <w:rPr>
          <w:sz w:val="26"/>
          <w:szCs w:val="26"/>
        </w:rPr>
        <w:t xml:space="preserve"> (1) create an Electric Vehicle Time-of-Use Pilot Program (EV-TOU) for Residential, Small C&amp;I and Medium C&amp;I &lt;200kW customers who own or lease an EV or who operate EV charging infrastructure at the service location; (2) allow customers participating in the Company’s Customer Assistance Program (CAP) to purchase supply from </w:t>
      </w:r>
      <w:r w:rsidR="009C41F0" w:rsidRPr="00E951F4">
        <w:rPr>
          <w:sz w:val="26"/>
          <w:szCs w:val="26"/>
        </w:rPr>
        <w:t xml:space="preserve">the </w:t>
      </w:r>
      <w:r w:rsidR="00876373" w:rsidRPr="00E951F4">
        <w:rPr>
          <w:sz w:val="26"/>
          <w:szCs w:val="26"/>
        </w:rPr>
        <w:t xml:space="preserve">Electric </w:t>
      </w:r>
      <w:r w:rsidR="004C30F6" w:rsidRPr="00E951F4">
        <w:rPr>
          <w:sz w:val="26"/>
          <w:szCs w:val="26"/>
        </w:rPr>
        <w:t>Generation Suppliers (</w:t>
      </w:r>
      <w:r w:rsidRPr="00E951F4">
        <w:rPr>
          <w:sz w:val="26"/>
          <w:szCs w:val="26"/>
        </w:rPr>
        <w:t>EGSs</w:t>
      </w:r>
      <w:r w:rsidR="004C30F6" w:rsidRPr="00E951F4">
        <w:rPr>
          <w:sz w:val="26"/>
          <w:szCs w:val="26"/>
        </w:rPr>
        <w:t>)</w:t>
      </w:r>
      <w:r w:rsidRPr="00E951F4">
        <w:rPr>
          <w:sz w:val="26"/>
          <w:szCs w:val="26"/>
        </w:rPr>
        <w:t xml:space="preserve">, subject to certain protections (CAP Shopping), provided that there are sufficient EGSs that are willing to serve </w:t>
      </w:r>
      <w:r w:rsidR="009C41F0" w:rsidRPr="00E951F4">
        <w:rPr>
          <w:sz w:val="26"/>
          <w:szCs w:val="26"/>
        </w:rPr>
        <w:t xml:space="preserve">the </w:t>
      </w:r>
      <w:r w:rsidRPr="00E951F4">
        <w:rPr>
          <w:sz w:val="26"/>
          <w:szCs w:val="26"/>
        </w:rPr>
        <w:t>CAP customers; (3) use a third-party vendor to administer the Company’s Standard Offer Customer Referral Program (SOP); and (4)</w:t>
      </w:r>
      <w:r w:rsidR="00E87EFD" w:rsidRPr="00E951F4">
        <w:rPr>
          <w:sz w:val="26"/>
          <w:szCs w:val="26"/>
        </w:rPr>
        <w:t> </w:t>
      </w:r>
      <w:r w:rsidRPr="00E951F4">
        <w:rPr>
          <w:sz w:val="26"/>
          <w:szCs w:val="26"/>
        </w:rPr>
        <w:t xml:space="preserve">enter into a long-term Solar Power Purchase Agreement </w:t>
      </w:r>
      <w:r w:rsidR="0051034D" w:rsidRPr="00E951F4">
        <w:rPr>
          <w:sz w:val="26"/>
          <w:szCs w:val="26"/>
        </w:rPr>
        <w:t xml:space="preserve">(Solar PPA) </w:t>
      </w:r>
      <w:r w:rsidRPr="00E951F4">
        <w:rPr>
          <w:sz w:val="26"/>
          <w:szCs w:val="26"/>
        </w:rPr>
        <w:t>to support a utility-scale solar project in Pennsylvania, preferably in Duquesne Light’s service area.</w:t>
      </w:r>
      <w:r w:rsidR="001D4AE0" w:rsidRPr="00E951F4">
        <w:rPr>
          <w:sz w:val="26"/>
          <w:szCs w:val="26"/>
        </w:rPr>
        <w:t xml:space="preserve">  </w:t>
      </w:r>
      <w:r w:rsidR="001D4AE0" w:rsidRPr="00E951F4">
        <w:rPr>
          <w:i/>
          <w:iCs/>
          <w:sz w:val="26"/>
          <w:szCs w:val="26"/>
        </w:rPr>
        <w:t>Id</w:t>
      </w:r>
      <w:r w:rsidR="001D4AE0" w:rsidRPr="00E951F4">
        <w:rPr>
          <w:sz w:val="26"/>
          <w:szCs w:val="26"/>
        </w:rPr>
        <w:t xml:space="preserve">. at 15, </w:t>
      </w:r>
      <w:r w:rsidR="0051034D" w:rsidRPr="00E951F4">
        <w:rPr>
          <w:sz w:val="26"/>
          <w:szCs w:val="26"/>
        </w:rPr>
        <w:t>16,</w:t>
      </w:r>
      <w:r w:rsidR="003F6709" w:rsidRPr="00E951F4">
        <w:rPr>
          <w:sz w:val="26"/>
          <w:szCs w:val="26"/>
        </w:rPr>
        <w:t xml:space="preserve"> 18, </w:t>
      </w:r>
      <w:r w:rsidR="005B1C2C" w:rsidRPr="00E951F4">
        <w:rPr>
          <w:sz w:val="26"/>
          <w:szCs w:val="26"/>
        </w:rPr>
        <w:t>19-20.</w:t>
      </w:r>
    </w:p>
    <w:p w14:paraId="53C480E9" w14:textId="77777777" w:rsidR="00332F2F" w:rsidRPr="00E951F4" w:rsidRDefault="00332F2F" w:rsidP="00E951F4">
      <w:pPr>
        <w:widowControl/>
        <w:kinsoku w:val="0"/>
        <w:overflowPunct w:val="0"/>
        <w:spacing w:line="360" w:lineRule="auto"/>
        <w:ind w:left="144" w:right="144" w:firstLine="1440"/>
        <w:textAlignment w:val="baseline"/>
        <w:rPr>
          <w:sz w:val="26"/>
          <w:szCs w:val="26"/>
        </w:rPr>
      </w:pPr>
    </w:p>
    <w:p w14:paraId="3871159B" w14:textId="0963E4C2" w:rsidR="00BA6144" w:rsidRPr="00E951F4" w:rsidRDefault="00736124" w:rsidP="00E951F4">
      <w:pPr>
        <w:widowControl/>
        <w:kinsoku w:val="0"/>
        <w:overflowPunct w:val="0"/>
        <w:spacing w:line="360" w:lineRule="auto"/>
        <w:ind w:firstLine="1440"/>
        <w:textAlignment w:val="baseline"/>
        <w:rPr>
          <w:sz w:val="26"/>
          <w:szCs w:val="26"/>
        </w:rPr>
      </w:pPr>
      <w:r w:rsidRPr="00E951F4">
        <w:rPr>
          <w:sz w:val="26"/>
          <w:szCs w:val="26"/>
        </w:rPr>
        <w:t xml:space="preserve">The following </w:t>
      </w:r>
      <w:r w:rsidR="009700C0" w:rsidRPr="00E951F4">
        <w:rPr>
          <w:sz w:val="26"/>
          <w:szCs w:val="26"/>
        </w:rPr>
        <w:t>Parties filed Petitions to Intervene: Calpine,</w:t>
      </w:r>
      <w:r w:rsidR="006B672D" w:rsidRPr="00E951F4">
        <w:rPr>
          <w:sz w:val="26"/>
          <w:szCs w:val="26"/>
        </w:rPr>
        <w:t xml:space="preserve"> </w:t>
      </w:r>
      <w:r w:rsidR="00BA6144" w:rsidRPr="00E951F4">
        <w:rPr>
          <w:sz w:val="26"/>
          <w:szCs w:val="26"/>
        </w:rPr>
        <w:t xml:space="preserve">CAUSE-PA, </w:t>
      </w:r>
      <w:r w:rsidR="00A63F52" w:rsidRPr="00E951F4">
        <w:rPr>
          <w:sz w:val="26"/>
          <w:szCs w:val="26"/>
        </w:rPr>
        <w:t xml:space="preserve">the </w:t>
      </w:r>
      <w:r w:rsidR="00BA6144" w:rsidRPr="00E951F4">
        <w:rPr>
          <w:sz w:val="26"/>
          <w:szCs w:val="26"/>
        </w:rPr>
        <w:t>EGS Parties</w:t>
      </w:r>
      <w:r w:rsidR="00EF744D" w:rsidRPr="00E951F4">
        <w:rPr>
          <w:sz w:val="26"/>
          <w:szCs w:val="26"/>
        </w:rPr>
        <w:t>, StateWise Energy Pennsylvania LLC and SFE Energy Pennsylvania (collectively, StateWise),</w:t>
      </w:r>
      <w:r w:rsidR="00FD4146" w:rsidRPr="00E951F4">
        <w:rPr>
          <w:sz w:val="26"/>
          <w:szCs w:val="26"/>
        </w:rPr>
        <w:t xml:space="preserve"> MAREC, ChargePoint, Inc.</w:t>
      </w:r>
      <w:r w:rsidR="002E7268" w:rsidRPr="00E951F4">
        <w:rPr>
          <w:sz w:val="26"/>
          <w:szCs w:val="26"/>
        </w:rPr>
        <w:t xml:space="preserve"> (ChargePoint)</w:t>
      </w:r>
      <w:r w:rsidR="0039322E" w:rsidRPr="00E951F4">
        <w:rPr>
          <w:sz w:val="26"/>
          <w:szCs w:val="26"/>
        </w:rPr>
        <w:t>,</w:t>
      </w:r>
      <w:r w:rsidR="00FD4146" w:rsidRPr="00E951F4">
        <w:rPr>
          <w:sz w:val="26"/>
          <w:szCs w:val="26"/>
        </w:rPr>
        <w:t xml:space="preserve"> NRDC</w:t>
      </w:r>
      <w:r w:rsidR="00CA4FB7" w:rsidRPr="00E951F4">
        <w:rPr>
          <w:sz w:val="26"/>
          <w:szCs w:val="26"/>
        </w:rPr>
        <w:t>,</w:t>
      </w:r>
      <w:r w:rsidR="00FD4146" w:rsidRPr="00E951F4">
        <w:rPr>
          <w:sz w:val="26"/>
          <w:szCs w:val="26"/>
        </w:rPr>
        <w:t xml:space="preserve"> and Solar United Neighbors of Pennsylvania (SUN-PA).</w:t>
      </w:r>
      <w:r w:rsidR="003B4A60" w:rsidRPr="00E951F4">
        <w:rPr>
          <w:rStyle w:val="FootnoteReference"/>
          <w:sz w:val="26"/>
          <w:szCs w:val="26"/>
        </w:rPr>
        <w:footnoteReference w:id="2"/>
      </w:r>
      <w:r w:rsidR="00FD4146" w:rsidRPr="00E951F4">
        <w:rPr>
          <w:sz w:val="26"/>
          <w:szCs w:val="26"/>
        </w:rPr>
        <w:t xml:space="preserve">   </w:t>
      </w:r>
    </w:p>
    <w:p w14:paraId="7639516E" w14:textId="77777777" w:rsidR="006B0655" w:rsidRPr="00E951F4" w:rsidRDefault="006B0655" w:rsidP="00E951F4">
      <w:pPr>
        <w:widowControl/>
        <w:kinsoku w:val="0"/>
        <w:overflowPunct w:val="0"/>
        <w:spacing w:line="360" w:lineRule="auto"/>
        <w:ind w:firstLine="1440"/>
        <w:textAlignment w:val="baseline"/>
        <w:rPr>
          <w:sz w:val="26"/>
          <w:szCs w:val="26"/>
        </w:rPr>
      </w:pPr>
    </w:p>
    <w:p w14:paraId="2D5281CA" w14:textId="4DAE1375" w:rsidR="00BA6144" w:rsidRPr="00E951F4" w:rsidRDefault="000950E0" w:rsidP="00E951F4">
      <w:pPr>
        <w:widowControl/>
        <w:kinsoku w:val="0"/>
        <w:overflowPunct w:val="0"/>
        <w:spacing w:line="360" w:lineRule="auto"/>
        <w:ind w:firstLine="1440"/>
        <w:textAlignment w:val="baseline"/>
        <w:rPr>
          <w:sz w:val="26"/>
          <w:szCs w:val="26"/>
        </w:rPr>
      </w:pPr>
      <w:r w:rsidRPr="00E951F4">
        <w:rPr>
          <w:sz w:val="26"/>
          <w:szCs w:val="26"/>
        </w:rPr>
        <w:t>O</w:t>
      </w:r>
      <w:r w:rsidR="00BA6144" w:rsidRPr="00E951F4">
        <w:rPr>
          <w:sz w:val="26"/>
          <w:szCs w:val="26"/>
        </w:rPr>
        <w:t>n May 20, 2020, the O</w:t>
      </w:r>
      <w:r w:rsidR="008D534E" w:rsidRPr="00E951F4">
        <w:rPr>
          <w:sz w:val="26"/>
          <w:szCs w:val="26"/>
        </w:rPr>
        <w:t xml:space="preserve">ffice of </w:t>
      </w:r>
      <w:r w:rsidR="00BA6144" w:rsidRPr="00E951F4">
        <w:rPr>
          <w:sz w:val="26"/>
          <w:szCs w:val="26"/>
        </w:rPr>
        <w:t>S</w:t>
      </w:r>
      <w:r w:rsidR="008D534E" w:rsidRPr="00E951F4">
        <w:rPr>
          <w:sz w:val="26"/>
          <w:szCs w:val="26"/>
        </w:rPr>
        <w:t xml:space="preserve">mall </w:t>
      </w:r>
      <w:r w:rsidR="00BA6144" w:rsidRPr="00E951F4">
        <w:rPr>
          <w:sz w:val="26"/>
          <w:szCs w:val="26"/>
        </w:rPr>
        <w:t>B</w:t>
      </w:r>
      <w:r w:rsidR="008D534E" w:rsidRPr="00E951F4">
        <w:rPr>
          <w:sz w:val="26"/>
          <w:szCs w:val="26"/>
        </w:rPr>
        <w:t xml:space="preserve">usiness </w:t>
      </w:r>
      <w:r w:rsidR="00BA6144" w:rsidRPr="00E951F4">
        <w:rPr>
          <w:sz w:val="26"/>
          <w:szCs w:val="26"/>
        </w:rPr>
        <w:t>A</w:t>
      </w:r>
      <w:r w:rsidR="008D534E" w:rsidRPr="00E951F4">
        <w:rPr>
          <w:sz w:val="26"/>
          <w:szCs w:val="26"/>
        </w:rPr>
        <w:t>dvocate</w:t>
      </w:r>
      <w:r w:rsidR="00BA6144" w:rsidRPr="00E951F4">
        <w:rPr>
          <w:sz w:val="26"/>
          <w:szCs w:val="26"/>
        </w:rPr>
        <w:t xml:space="preserve"> </w:t>
      </w:r>
      <w:r w:rsidR="007623A6" w:rsidRPr="00E951F4">
        <w:rPr>
          <w:sz w:val="26"/>
          <w:szCs w:val="26"/>
        </w:rPr>
        <w:t xml:space="preserve">(OSBA) </w:t>
      </w:r>
      <w:r w:rsidR="00BA6144" w:rsidRPr="00E951F4">
        <w:rPr>
          <w:sz w:val="26"/>
          <w:szCs w:val="26"/>
        </w:rPr>
        <w:t>filed a Notice of Intervention and Answer.</w:t>
      </w:r>
      <w:r w:rsidR="00C201AD" w:rsidRPr="00E951F4">
        <w:rPr>
          <w:sz w:val="26"/>
          <w:szCs w:val="26"/>
        </w:rPr>
        <w:t xml:space="preserve">  </w:t>
      </w:r>
      <w:r w:rsidR="00BA6144" w:rsidRPr="00E951F4">
        <w:rPr>
          <w:sz w:val="26"/>
          <w:szCs w:val="26"/>
        </w:rPr>
        <w:t xml:space="preserve">On May 22, 2020, the OCA filed a Notice of </w:t>
      </w:r>
      <w:r w:rsidR="00BA6144" w:rsidRPr="00E951F4">
        <w:rPr>
          <w:sz w:val="26"/>
          <w:szCs w:val="26"/>
        </w:rPr>
        <w:lastRenderedPageBreak/>
        <w:t>Intervention and Answer.</w:t>
      </w:r>
      <w:r w:rsidR="008D534E" w:rsidRPr="00E951F4">
        <w:rPr>
          <w:sz w:val="26"/>
          <w:szCs w:val="26"/>
        </w:rPr>
        <w:t xml:space="preserve">  On </w:t>
      </w:r>
      <w:r w:rsidR="00BA6144" w:rsidRPr="00E951F4">
        <w:rPr>
          <w:sz w:val="26"/>
          <w:szCs w:val="26"/>
        </w:rPr>
        <w:t xml:space="preserve">June 9, 2020, </w:t>
      </w:r>
      <w:r w:rsidR="004B5106" w:rsidRPr="00E951F4">
        <w:rPr>
          <w:sz w:val="26"/>
          <w:szCs w:val="26"/>
        </w:rPr>
        <w:t xml:space="preserve">the Bureau of Investigation </w:t>
      </w:r>
      <w:r w:rsidR="006B0655" w:rsidRPr="00E951F4">
        <w:rPr>
          <w:sz w:val="26"/>
          <w:szCs w:val="26"/>
        </w:rPr>
        <w:t>and</w:t>
      </w:r>
      <w:r w:rsidR="004B5106" w:rsidRPr="00E951F4">
        <w:rPr>
          <w:sz w:val="26"/>
          <w:szCs w:val="26"/>
        </w:rPr>
        <w:t xml:space="preserve"> Enforcement (</w:t>
      </w:r>
      <w:r w:rsidR="00BA6144" w:rsidRPr="00E951F4">
        <w:rPr>
          <w:sz w:val="26"/>
          <w:szCs w:val="26"/>
        </w:rPr>
        <w:t>I&amp;E</w:t>
      </w:r>
      <w:r w:rsidR="004B5106" w:rsidRPr="00E951F4">
        <w:rPr>
          <w:sz w:val="26"/>
          <w:szCs w:val="26"/>
        </w:rPr>
        <w:t>)</w:t>
      </w:r>
      <w:r w:rsidR="00BA6144" w:rsidRPr="00E951F4">
        <w:rPr>
          <w:sz w:val="26"/>
          <w:szCs w:val="26"/>
        </w:rPr>
        <w:t xml:space="preserve"> filed a Notice of Appearance</w:t>
      </w:r>
      <w:r w:rsidR="008D534E" w:rsidRPr="00E951F4">
        <w:rPr>
          <w:sz w:val="26"/>
          <w:szCs w:val="26"/>
        </w:rPr>
        <w:t>.</w:t>
      </w:r>
    </w:p>
    <w:p w14:paraId="47A62A5B" w14:textId="77777777" w:rsidR="008D534E" w:rsidRPr="00E951F4" w:rsidRDefault="008D534E" w:rsidP="00E951F4">
      <w:pPr>
        <w:widowControl/>
        <w:spacing w:line="360" w:lineRule="auto"/>
        <w:ind w:firstLine="1440"/>
        <w:rPr>
          <w:sz w:val="26"/>
          <w:szCs w:val="26"/>
        </w:rPr>
      </w:pPr>
    </w:p>
    <w:p w14:paraId="55686FFF" w14:textId="48F63AB2" w:rsidR="00BA6144" w:rsidRPr="00E951F4" w:rsidRDefault="00BA6144" w:rsidP="00E951F4">
      <w:pPr>
        <w:widowControl/>
        <w:kinsoku w:val="0"/>
        <w:overflowPunct w:val="0"/>
        <w:spacing w:line="360" w:lineRule="auto"/>
        <w:ind w:firstLine="1440"/>
        <w:textAlignment w:val="baseline"/>
        <w:rPr>
          <w:sz w:val="26"/>
          <w:szCs w:val="26"/>
        </w:rPr>
      </w:pPr>
      <w:r w:rsidRPr="00E951F4">
        <w:rPr>
          <w:sz w:val="26"/>
          <w:szCs w:val="26"/>
        </w:rPr>
        <w:t xml:space="preserve">On July 10, 2020, Duquesne Light filed a Petition for Protective Order. </w:t>
      </w:r>
      <w:r w:rsidR="008D22B2" w:rsidRPr="00E951F4">
        <w:rPr>
          <w:sz w:val="26"/>
          <w:szCs w:val="26"/>
        </w:rPr>
        <w:t xml:space="preserve"> </w:t>
      </w:r>
      <w:r w:rsidRPr="00E951F4">
        <w:rPr>
          <w:sz w:val="26"/>
          <w:szCs w:val="26"/>
        </w:rPr>
        <w:t>A Protective Order was issued on August 3, 2020.</w:t>
      </w:r>
    </w:p>
    <w:p w14:paraId="2936A072" w14:textId="77777777" w:rsidR="008D22B2" w:rsidRPr="00E951F4" w:rsidRDefault="008D22B2" w:rsidP="00E951F4">
      <w:pPr>
        <w:widowControl/>
        <w:kinsoku w:val="0"/>
        <w:overflowPunct w:val="0"/>
        <w:spacing w:line="360" w:lineRule="auto"/>
        <w:ind w:firstLine="1440"/>
        <w:textAlignment w:val="baseline"/>
        <w:rPr>
          <w:sz w:val="26"/>
          <w:szCs w:val="26"/>
        </w:rPr>
      </w:pPr>
    </w:p>
    <w:p w14:paraId="73B27128" w14:textId="77777777" w:rsidR="005D3014" w:rsidRPr="00E951F4" w:rsidRDefault="00BA6144" w:rsidP="00E951F4">
      <w:pPr>
        <w:widowControl/>
        <w:kinsoku w:val="0"/>
        <w:overflowPunct w:val="0"/>
        <w:spacing w:line="360" w:lineRule="auto"/>
        <w:ind w:firstLine="1440"/>
        <w:textAlignment w:val="baseline"/>
        <w:rPr>
          <w:sz w:val="26"/>
          <w:szCs w:val="26"/>
        </w:rPr>
      </w:pPr>
      <w:r w:rsidRPr="00E951F4">
        <w:rPr>
          <w:sz w:val="26"/>
          <w:szCs w:val="26"/>
        </w:rPr>
        <w:t xml:space="preserve">The </w:t>
      </w:r>
      <w:r w:rsidR="008D22B2" w:rsidRPr="00E951F4">
        <w:rPr>
          <w:sz w:val="26"/>
          <w:szCs w:val="26"/>
        </w:rPr>
        <w:t>P</w:t>
      </w:r>
      <w:r w:rsidRPr="00E951F4">
        <w:rPr>
          <w:sz w:val="26"/>
          <w:szCs w:val="26"/>
        </w:rPr>
        <w:t>arties undertook discovery and served written direct, rebuttal</w:t>
      </w:r>
      <w:r w:rsidR="008D22B2" w:rsidRPr="00E951F4">
        <w:rPr>
          <w:sz w:val="26"/>
          <w:szCs w:val="26"/>
        </w:rPr>
        <w:t>,</w:t>
      </w:r>
      <w:r w:rsidRPr="00E951F4">
        <w:rPr>
          <w:sz w:val="26"/>
          <w:szCs w:val="26"/>
        </w:rPr>
        <w:t xml:space="preserve"> and surrebuttal testimony. </w:t>
      </w:r>
      <w:r w:rsidR="008D22B2" w:rsidRPr="00E951F4">
        <w:rPr>
          <w:sz w:val="26"/>
          <w:szCs w:val="26"/>
        </w:rPr>
        <w:t xml:space="preserve"> </w:t>
      </w:r>
      <w:r w:rsidR="006928ED" w:rsidRPr="00E951F4">
        <w:rPr>
          <w:sz w:val="26"/>
          <w:szCs w:val="26"/>
        </w:rPr>
        <w:t>An</w:t>
      </w:r>
      <w:r w:rsidRPr="00E951F4">
        <w:rPr>
          <w:sz w:val="26"/>
          <w:szCs w:val="26"/>
        </w:rPr>
        <w:t xml:space="preserve"> evidentiary hearing </w:t>
      </w:r>
      <w:r w:rsidR="006928ED" w:rsidRPr="00E951F4">
        <w:rPr>
          <w:sz w:val="26"/>
          <w:szCs w:val="26"/>
        </w:rPr>
        <w:t>was held</w:t>
      </w:r>
      <w:r w:rsidRPr="00E951F4">
        <w:rPr>
          <w:sz w:val="26"/>
          <w:szCs w:val="26"/>
        </w:rPr>
        <w:t xml:space="preserve"> on September 9, 2020. </w:t>
      </w:r>
      <w:r w:rsidR="005015B4" w:rsidRPr="00E951F4">
        <w:rPr>
          <w:sz w:val="26"/>
          <w:szCs w:val="26"/>
        </w:rPr>
        <w:t xml:space="preserve"> A</w:t>
      </w:r>
      <w:r w:rsidRPr="00E951F4">
        <w:rPr>
          <w:sz w:val="26"/>
          <w:szCs w:val="26"/>
        </w:rPr>
        <w:t xml:space="preserve">ll </w:t>
      </w:r>
      <w:r w:rsidR="005015B4" w:rsidRPr="00E951F4">
        <w:rPr>
          <w:sz w:val="26"/>
          <w:szCs w:val="26"/>
        </w:rPr>
        <w:t>P</w:t>
      </w:r>
      <w:r w:rsidRPr="00E951F4">
        <w:rPr>
          <w:sz w:val="26"/>
          <w:szCs w:val="26"/>
        </w:rPr>
        <w:t xml:space="preserve">arties agreed to waive the cross-examination of witnesses. </w:t>
      </w:r>
      <w:r w:rsidR="005015B4" w:rsidRPr="00E951F4">
        <w:rPr>
          <w:sz w:val="26"/>
          <w:szCs w:val="26"/>
        </w:rPr>
        <w:t xml:space="preserve"> T</w:t>
      </w:r>
      <w:r w:rsidRPr="00E951F4">
        <w:rPr>
          <w:sz w:val="26"/>
          <w:szCs w:val="26"/>
        </w:rPr>
        <w:t xml:space="preserve">he written testimony and exhibits of Duquesne Light, </w:t>
      </w:r>
      <w:r w:rsidR="005015B4" w:rsidRPr="00E951F4">
        <w:rPr>
          <w:sz w:val="26"/>
          <w:szCs w:val="26"/>
        </w:rPr>
        <w:t xml:space="preserve">the </w:t>
      </w:r>
      <w:r w:rsidRPr="00E951F4">
        <w:rPr>
          <w:sz w:val="26"/>
          <w:szCs w:val="26"/>
        </w:rPr>
        <w:t xml:space="preserve">OCA, </w:t>
      </w:r>
      <w:r w:rsidR="005015B4" w:rsidRPr="00E951F4">
        <w:rPr>
          <w:sz w:val="26"/>
          <w:szCs w:val="26"/>
        </w:rPr>
        <w:t xml:space="preserve">the </w:t>
      </w:r>
      <w:r w:rsidRPr="00E951F4">
        <w:rPr>
          <w:sz w:val="26"/>
          <w:szCs w:val="26"/>
        </w:rPr>
        <w:t xml:space="preserve">OSBA, NRDC, </w:t>
      </w:r>
      <w:r w:rsidR="001C4E07" w:rsidRPr="00E951F4">
        <w:rPr>
          <w:sz w:val="26"/>
          <w:szCs w:val="26"/>
        </w:rPr>
        <w:t xml:space="preserve">the </w:t>
      </w:r>
      <w:r w:rsidRPr="00E951F4">
        <w:rPr>
          <w:sz w:val="26"/>
          <w:szCs w:val="26"/>
        </w:rPr>
        <w:t>EGS Parties, CAUSE-PA, Calpine, and MAREC were admitted into the record.</w:t>
      </w:r>
      <w:r w:rsidR="001C4E07" w:rsidRPr="00E951F4">
        <w:rPr>
          <w:sz w:val="26"/>
          <w:szCs w:val="26"/>
        </w:rPr>
        <w:t xml:space="preserve">  The hearing produced a </w:t>
      </w:r>
      <w:r w:rsidR="005D3014" w:rsidRPr="00E951F4">
        <w:rPr>
          <w:sz w:val="26"/>
          <w:szCs w:val="26"/>
        </w:rPr>
        <w:t xml:space="preserve">forty-nine-page </w:t>
      </w:r>
      <w:r w:rsidR="001C4E07" w:rsidRPr="00E951F4">
        <w:rPr>
          <w:sz w:val="26"/>
          <w:szCs w:val="26"/>
        </w:rPr>
        <w:t>transcript</w:t>
      </w:r>
      <w:r w:rsidR="005D3014" w:rsidRPr="00E951F4">
        <w:rPr>
          <w:sz w:val="26"/>
          <w:szCs w:val="26"/>
        </w:rPr>
        <w:t xml:space="preserve">.  </w:t>
      </w:r>
    </w:p>
    <w:p w14:paraId="0E598A54" w14:textId="0C7A4EF4" w:rsidR="00BA6144" w:rsidRPr="00E951F4" w:rsidRDefault="00BA6144" w:rsidP="00E951F4">
      <w:pPr>
        <w:widowControl/>
        <w:kinsoku w:val="0"/>
        <w:overflowPunct w:val="0"/>
        <w:spacing w:line="360" w:lineRule="auto"/>
        <w:ind w:firstLine="1440"/>
        <w:textAlignment w:val="baseline"/>
        <w:rPr>
          <w:sz w:val="26"/>
          <w:szCs w:val="26"/>
        </w:rPr>
      </w:pPr>
    </w:p>
    <w:p w14:paraId="7FF2975A" w14:textId="2826D257" w:rsidR="00635FDC" w:rsidRPr="00E951F4" w:rsidRDefault="004B5106" w:rsidP="00E951F4">
      <w:pPr>
        <w:widowControl/>
        <w:kinsoku w:val="0"/>
        <w:overflowPunct w:val="0"/>
        <w:spacing w:line="360" w:lineRule="auto"/>
        <w:ind w:firstLine="1440"/>
        <w:textAlignment w:val="baseline"/>
        <w:rPr>
          <w:sz w:val="26"/>
          <w:szCs w:val="26"/>
        </w:rPr>
      </w:pPr>
      <w:r w:rsidRPr="00E951F4">
        <w:rPr>
          <w:sz w:val="26"/>
          <w:szCs w:val="26"/>
        </w:rPr>
        <w:t xml:space="preserve">On September 30, 2020, </w:t>
      </w:r>
      <w:r w:rsidR="00BA6144" w:rsidRPr="00E951F4">
        <w:rPr>
          <w:sz w:val="26"/>
          <w:szCs w:val="26"/>
        </w:rPr>
        <w:t xml:space="preserve">Duquesne Light, </w:t>
      </w:r>
      <w:r w:rsidR="005D3014" w:rsidRPr="00E951F4">
        <w:rPr>
          <w:sz w:val="26"/>
          <w:szCs w:val="26"/>
        </w:rPr>
        <w:t xml:space="preserve">the </w:t>
      </w:r>
      <w:r w:rsidR="00BA6144" w:rsidRPr="00E951F4">
        <w:rPr>
          <w:sz w:val="26"/>
          <w:szCs w:val="26"/>
        </w:rPr>
        <w:t xml:space="preserve">OCA, CAUSE-PA, </w:t>
      </w:r>
      <w:r w:rsidR="005D3014" w:rsidRPr="00E951F4">
        <w:rPr>
          <w:sz w:val="26"/>
          <w:szCs w:val="26"/>
        </w:rPr>
        <w:t xml:space="preserve">the </w:t>
      </w:r>
      <w:r w:rsidR="00BA6144" w:rsidRPr="00E951F4">
        <w:rPr>
          <w:sz w:val="26"/>
          <w:szCs w:val="26"/>
        </w:rPr>
        <w:t>EGS Parties, NRDC, Calpine</w:t>
      </w:r>
      <w:r w:rsidR="005D3014" w:rsidRPr="00E951F4">
        <w:rPr>
          <w:sz w:val="26"/>
          <w:szCs w:val="26"/>
        </w:rPr>
        <w:t>,</w:t>
      </w:r>
      <w:r w:rsidR="00BA6144" w:rsidRPr="00E951F4">
        <w:rPr>
          <w:sz w:val="26"/>
          <w:szCs w:val="26"/>
        </w:rPr>
        <w:t xml:space="preserve"> and MAREC </w:t>
      </w:r>
      <w:r w:rsidR="005D3014" w:rsidRPr="00E951F4">
        <w:rPr>
          <w:sz w:val="26"/>
          <w:szCs w:val="26"/>
        </w:rPr>
        <w:t>filed Main Briefs</w:t>
      </w:r>
      <w:r w:rsidR="00BA6144" w:rsidRPr="00E951F4">
        <w:rPr>
          <w:sz w:val="26"/>
          <w:szCs w:val="26"/>
        </w:rPr>
        <w:t>.</w:t>
      </w:r>
      <w:r w:rsidR="005D3014" w:rsidRPr="00E951F4">
        <w:rPr>
          <w:sz w:val="26"/>
          <w:szCs w:val="26"/>
        </w:rPr>
        <w:t xml:space="preserve">  </w:t>
      </w:r>
    </w:p>
    <w:p w14:paraId="19DF27AB" w14:textId="77777777" w:rsidR="00635FDC" w:rsidRPr="00E951F4" w:rsidRDefault="00635FDC" w:rsidP="00E951F4">
      <w:pPr>
        <w:widowControl/>
        <w:kinsoku w:val="0"/>
        <w:overflowPunct w:val="0"/>
        <w:spacing w:line="360" w:lineRule="auto"/>
        <w:ind w:firstLine="1440"/>
        <w:textAlignment w:val="baseline"/>
        <w:rPr>
          <w:sz w:val="26"/>
          <w:szCs w:val="26"/>
        </w:rPr>
      </w:pPr>
    </w:p>
    <w:p w14:paraId="15A34D58" w14:textId="1E0D4714" w:rsidR="00BA6144" w:rsidRPr="00E951F4" w:rsidRDefault="006333F7" w:rsidP="00E951F4">
      <w:pPr>
        <w:widowControl/>
        <w:kinsoku w:val="0"/>
        <w:overflowPunct w:val="0"/>
        <w:spacing w:line="360" w:lineRule="auto"/>
        <w:ind w:firstLine="1440"/>
        <w:textAlignment w:val="baseline"/>
        <w:rPr>
          <w:sz w:val="26"/>
          <w:szCs w:val="26"/>
        </w:rPr>
      </w:pPr>
      <w:bookmarkStart w:id="7" w:name="_Hlk59390764"/>
      <w:r w:rsidRPr="00E951F4">
        <w:rPr>
          <w:sz w:val="26"/>
          <w:szCs w:val="26"/>
        </w:rPr>
        <w:t>Also</w:t>
      </w:r>
      <w:r w:rsidR="00635FDC" w:rsidRPr="00E951F4">
        <w:rPr>
          <w:sz w:val="26"/>
          <w:szCs w:val="26"/>
        </w:rPr>
        <w:t xml:space="preserve"> o</w:t>
      </w:r>
      <w:r w:rsidR="00BA6144" w:rsidRPr="00E951F4">
        <w:rPr>
          <w:sz w:val="26"/>
          <w:szCs w:val="26"/>
        </w:rPr>
        <w:t>n September 30, 2020, Duquesne Light, C</w:t>
      </w:r>
      <w:r w:rsidR="00630A1F" w:rsidRPr="00E951F4">
        <w:rPr>
          <w:sz w:val="26"/>
          <w:szCs w:val="26"/>
        </w:rPr>
        <w:t>AUSE-PA,</w:t>
      </w:r>
      <w:r w:rsidR="00BA6144" w:rsidRPr="00E951F4">
        <w:rPr>
          <w:sz w:val="26"/>
          <w:szCs w:val="26"/>
        </w:rPr>
        <w:t xml:space="preserve"> and the O</w:t>
      </w:r>
      <w:r w:rsidR="00742D2E" w:rsidRPr="00E951F4">
        <w:rPr>
          <w:sz w:val="26"/>
          <w:szCs w:val="26"/>
        </w:rPr>
        <w:t>CA filed a Joint Stipula</w:t>
      </w:r>
      <w:r w:rsidR="0068608B" w:rsidRPr="00E951F4">
        <w:rPr>
          <w:sz w:val="26"/>
          <w:szCs w:val="26"/>
        </w:rPr>
        <w:t>t</w:t>
      </w:r>
      <w:r w:rsidR="00742D2E" w:rsidRPr="00E951F4">
        <w:rPr>
          <w:sz w:val="26"/>
          <w:szCs w:val="26"/>
        </w:rPr>
        <w:t>ion</w:t>
      </w:r>
      <w:r w:rsidR="0068608B" w:rsidRPr="00E951F4">
        <w:rPr>
          <w:sz w:val="26"/>
          <w:szCs w:val="26"/>
        </w:rPr>
        <w:t>,</w:t>
      </w:r>
      <w:r w:rsidR="00BA6144" w:rsidRPr="00E951F4">
        <w:rPr>
          <w:sz w:val="26"/>
          <w:szCs w:val="26"/>
        </w:rPr>
        <w:t xml:space="preserve"> agree</w:t>
      </w:r>
      <w:r w:rsidR="00681483" w:rsidRPr="00E951F4">
        <w:rPr>
          <w:sz w:val="26"/>
          <w:szCs w:val="26"/>
        </w:rPr>
        <w:t>ing</w:t>
      </w:r>
      <w:r w:rsidR="00BA6144" w:rsidRPr="00E951F4">
        <w:rPr>
          <w:sz w:val="26"/>
          <w:szCs w:val="26"/>
        </w:rPr>
        <w:t xml:space="preserve"> to the implementation of the Company’s SOP as proposed by the Company at Paragraphs 60-66 of the Default Service Plan, with five modifications set forth in subparagraphs a-e of the Joint Stipulation</w:t>
      </w:r>
      <w:r w:rsidR="00D256FF" w:rsidRPr="00E951F4">
        <w:rPr>
          <w:sz w:val="26"/>
          <w:szCs w:val="26"/>
        </w:rPr>
        <w:t xml:space="preserve"> (the SOP Stipulation)</w:t>
      </w:r>
      <w:r w:rsidR="00BA6144" w:rsidRPr="00E951F4">
        <w:rPr>
          <w:sz w:val="26"/>
          <w:szCs w:val="26"/>
        </w:rPr>
        <w:t>.</w:t>
      </w:r>
      <w:r w:rsidR="00FA1AAB" w:rsidRPr="00E951F4">
        <w:rPr>
          <w:sz w:val="26"/>
          <w:szCs w:val="26"/>
        </w:rPr>
        <w:t xml:space="preserve">  </w:t>
      </w:r>
      <w:bookmarkEnd w:id="7"/>
      <w:r w:rsidR="00BA6144" w:rsidRPr="00E951F4">
        <w:rPr>
          <w:sz w:val="26"/>
          <w:szCs w:val="26"/>
        </w:rPr>
        <w:t xml:space="preserve">Additionally, Duquesne Light, CAUSE-PA and </w:t>
      </w:r>
      <w:r w:rsidR="00E27999" w:rsidRPr="00E951F4">
        <w:rPr>
          <w:sz w:val="26"/>
          <w:szCs w:val="26"/>
        </w:rPr>
        <w:t xml:space="preserve">the </w:t>
      </w:r>
      <w:r w:rsidR="00BA6144" w:rsidRPr="00E951F4">
        <w:rPr>
          <w:sz w:val="26"/>
          <w:szCs w:val="26"/>
        </w:rPr>
        <w:t>OCA agreed to the withdrawal of the Company’s proposal regarding C</w:t>
      </w:r>
      <w:r w:rsidR="009954C5" w:rsidRPr="00E951F4">
        <w:rPr>
          <w:sz w:val="26"/>
          <w:szCs w:val="26"/>
        </w:rPr>
        <w:t xml:space="preserve">ustomer </w:t>
      </w:r>
      <w:r w:rsidR="00BA6144" w:rsidRPr="00E951F4">
        <w:rPr>
          <w:sz w:val="26"/>
          <w:szCs w:val="26"/>
        </w:rPr>
        <w:t>A</w:t>
      </w:r>
      <w:r w:rsidR="009954C5" w:rsidRPr="00E951F4">
        <w:rPr>
          <w:sz w:val="26"/>
          <w:szCs w:val="26"/>
        </w:rPr>
        <w:t xml:space="preserve">ssistance </w:t>
      </w:r>
      <w:r w:rsidR="00BA6144" w:rsidRPr="00E951F4">
        <w:rPr>
          <w:sz w:val="26"/>
          <w:szCs w:val="26"/>
        </w:rPr>
        <w:t>P</w:t>
      </w:r>
      <w:r w:rsidR="009954C5" w:rsidRPr="00E951F4">
        <w:rPr>
          <w:sz w:val="26"/>
          <w:szCs w:val="26"/>
        </w:rPr>
        <w:t>rogram (CAP)</w:t>
      </w:r>
      <w:r w:rsidR="00BA6144" w:rsidRPr="00E951F4">
        <w:rPr>
          <w:sz w:val="26"/>
          <w:szCs w:val="26"/>
        </w:rPr>
        <w:t xml:space="preserve"> </w:t>
      </w:r>
      <w:r w:rsidR="00F21704" w:rsidRPr="00E951F4">
        <w:rPr>
          <w:sz w:val="26"/>
          <w:szCs w:val="26"/>
        </w:rPr>
        <w:t>s</w:t>
      </w:r>
      <w:r w:rsidR="00BA6144" w:rsidRPr="00E951F4">
        <w:rPr>
          <w:sz w:val="26"/>
          <w:szCs w:val="26"/>
        </w:rPr>
        <w:t xml:space="preserve">hopping, as </w:t>
      </w:r>
      <w:r w:rsidR="00AE5B06" w:rsidRPr="00E951F4">
        <w:rPr>
          <w:sz w:val="26"/>
          <w:szCs w:val="26"/>
        </w:rPr>
        <w:t>described in</w:t>
      </w:r>
      <w:r w:rsidR="00BA6144" w:rsidRPr="00E951F4">
        <w:rPr>
          <w:sz w:val="26"/>
          <w:szCs w:val="26"/>
        </w:rPr>
        <w:t xml:space="preserve"> Paragraphs 68-72 of the Default Service Plan. </w:t>
      </w:r>
      <w:r w:rsidR="00AC68DA" w:rsidRPr="00E951F4">
        <w:rPr>
          <w:sz w:val="26"/>
          <w:szCs w:val="26"/>
        </w:rPr>
        <w:t xml:space="preserve"> </w:t>
      </w:r>
      <w:r w:rsidR="00BA6144" w:rsidRPr="00E951F4">
        <w:rPr>
          <w:sz w:val="26"/>
          <w:szCs w:val="26"/>
        </w:rPr>
        <w:t>Duquesne Light, CAUSE-PA</w:t>
      </w:r>
      <w:r w:rsidR="00AC68DA" w:rsidRPr="00E951F4">
        <w:rPr>
          <w:sz w:val="26"/>
          <w:szCs w:val="26"/>
        </w:rPr>
        <w:t>,</w:t>
      </w:r>
      <w:r w:rsidR="00BA6144" w:rsidRPr="00E951F4">
        <w:rPr>
          <w:sz w:val="26"/>
          <w:szCs w:val="26"/>
        </w:rPr>
        <w:t xml:space="preserve"> and </w:t>
      </w:r>
      <w:r w:rsidR="00AC68DA" w:rsidRPr="00E951F4">
        <w:rPr>
          <w:sz w:val="26"/>
          <w:szCs w:val="26"/>
        </w:rPr>
        <w:t xml:space="preserve">the </w:t>
      </w:r>
      <w:r w:rsidR="00BA6144" w:rsidRPr="00E951F4">
        <w:rPr>
          <w:sz w:val="26"/>
          <w:szCs w:val="26"/>
        </w:rPr>
        <w:t xml:space="preserve">OCA further agreed that within </w:t>
      </w:r>
      <w:r w:rsidR="00AC68DA" w:rsidRPr="00E951F4">
        <w:rPr>
          <w:sz w:val="26"/>
          <w:szCs w:val="26"/>
        </w:rPr>
        <w:t>six</w:t>
      </w:r>
      <w:r w:rsidR="00BA6144" w:rsidRPr="00E951F4">
        <w:rPr>
          <w:sz w:val="26"/>
          <w:szCs w:val="26"/>
        </w:rPr>
        <w:t xml:space="preserve"> months of a final, unappealable order implementing CAP </w:t>
      </w:r>
      <w:r w:rsidR="00150C3E" w:rsidRPr="00E951F4">
        <w:rPr>
          <w:sz w:val="26"/>
          <w:szCs w:val="26"/>
        </w:rPr>
        <w:t>s</w:t>
      </w:r>
      <w:r w:rsidR="00BA6144" w:rsidRPr="00E951F4">
        <w:rPr>
          <w:sz w:val="26"/>
          <w:szCs w:val="26"/>
        </w:rPr>
        <w:t>hopping in PPL Electric Utilities Corporation</w:t>
      </w:r>
      <w:r w:rsidR="008F33E9" w:rsidRPr="00E951F4">
        <w:rPr>
          <w:sz w:val="26"/>
          <w:szCs w:val="26"/>
        </w:rPr>
        <w:t>’s</w:t>
      </w:r>
      <w:r w:rsidR="00BA6144" w:rsidRPr="00E951F4">
        <w:rPr>
          <w:sz w:val="26"/>
          <w:szCs w:val="26"/>
        </w:rPr>
        <w:t xml:space="preserve"> (PPL Electric) service territory, Duquesne Light will make </w:t>
      </w:r>
      <w:r w:rsidR="00A66BE0" w:rsidRPr="00E951F4">
        <w:rPr>
          <w:sz w:val="26"/>
          <w:szCs w:val="26"/>
        </w:rPr>
        <w:t xml:space="preserve">a </w:t>
      </w:r>
      <w:r w:rsidR="00BA6144" w:rsidRPr="00E951F4">
        <w:rPr>
          <w:sz w:val="26"/>
          <w:szCs w:val="26"/>
        </w:rPr>
        <w:t>filing with the Commission regarding CAP shopping that is consistent with Duquesne Light’s CAP design, and which is informed by all available information and data</w:t>
      </w:r>
      <w:r w:rsidR="00256B96" w:rsidRPr="00E951F4">
        <w:rPr>
          <w:sz w:val="26"/>
          <w:szCs w:val="26"/>
        </w:rPr>
        <w:t xml:space="preserve"> (CAP Shopping Stipulat</w:t>
      </w:r>
      <w:r w:rsidR="00E55A7C" w:rsidRPr="00E951F4">
        <w:rPr>
          <w:sz w:val="26"/>
          <w:szCs w:val="26"/>
        </w:rPr>
        <w:t>ion)</w:t>
      </w:r>
      <w:r w:rsidR="00BA6144" w:rsidRPr="00E951F4">
        <w:rPr>
          <w:sz w:val="26"/>
          <w:szCs w:val="26"/>
        </w:rPr>
        <w:t>.</w:t>
      </w:r>
    </w:p>
    <w:p w14:paraId="252C3CDA" w14:textId="77777777" w:rsidR="003C0931" w:rsidRPr="00E951F4" w:rsidRDefault="003C0931" w:rsidP="00E951F4">
      <w:pPr>
        <w:widowControl/>
        <w:kinsoku w:val="0"/>
        <w:overflowPunct w:val="0"/>
        <w:spacing w:line="360" w:lineRule="auto"/>
        <w:ind w:firstLine="1440"/>
        <w:textAlignment w:val="baseline"/>
        <w:rPr>
          <w:sz w:val="26"/>
          <w:szCs w:val="26"/>
        </w:rPr>
      </w:pPr>
    </w:p>
    <w:p w14:paraId="34DAF46C" w14:textId="245165FD" w:rsidR="00BA6144" w:rsidRPr="00E951F4" w:rsidRDefault="002E316D" w:rsidP="00E951F4">
      <w:pPr>
        <w:widowControl/>
        <w:kinsoku w:val="0"/>
        <w:overflowPunct w:val="0"/>
        <w:spacing w:line="360" w:lineRule="auto"/>
        <w:ind w:firstLine="1440"/>
        <w:textAlignment w:val="baseline"/>
        <w:rPr>
          <w:sz w:val="26"/>
          <w:szCs w:val="26"/>
        </w:rPr>
      </w:pPr>
      <w:r w:rsidRPr="00E951F4">
        <w:rPr>
          <w:sz w:val="26"/>
          <w:szCs w:val="26"/>
        </w:rPr>
        <w:lastRenderedPageBreak/>
        <w:t xml:space="preserve">On the same date, </w:t>
      </w:r>
      <w:r w:rsidR="00BA6144" w:rsidRPr="00E951F4">
        <w:rPr>
          <w:sz w:val="26"/>
          <w:szCs w:val="26"/>
        </w:rPr>
        <w:t>Duquesne Light, N</w:t>
      </w:r>
      <w:r w:rsidR="00167A7C" w:rsidRPr="00E951F4">
        <w:rPr>
          <w:sz w:val="26"/>
          <w:szCs w:val="26"/>
        </w:rPr>
        <w:t xml:space="preserve">RDC, CAUSE-PA, </w:t>
      </w:r>
      <w:r w:rsidR="00E61F51" w:rsidRPr="00E951F4">
        <w:rPr>
          <w:sz w:val="26"/>
          <w:szCs w:val="26"/>
        </w:rPr>
        <w:t xml:space="preserve">the OCA, and the OSBA </w:t>
      </w:r>
      <w:r w:rsidR="004D7FD5" w:rsidRPr="00E951F4">
        <w:rPr>
          <w:sz w:val="26"/>
          <w:szCs w:val="26"/>
        </w:rPr>
        <w:t>filed a Joint Stipulation</w:t>
      </w:r>
      <w:r w:rsidR="00906BE2" w:rsidRPr="00E951F4">
        <w:rPr>
          <w:sz w:val="26"/>
          <w:szCs w:val="26"/>
        </w:rPr>
        <w:t xml:space="preserve">, agreeing to </w:t>
      </w:r>
      <w:r w:rsidR="00BA6144" w:rsidRPr="00E951F4">
        <w:rPr>
          <w:sz w:val="26"/>
          <w:szCs w:val="26"/>
        </w:rPr>
        <w:t>the implementation of the Company’s EV</w:t>
      </w:r>
      <w:r w:rsidR="006333F7">
        <w:rPr>
          <w:sz w:val="26"/>
          <w:szCs w:val="26"/>
        </w:rPr>
        <w:noBreakHyphen/>
      </w:r>
      <w:r w:rsidR="00BA6144" w:rsidRPr="00E951F4">
        <w:rPr>
          <w:sz w:val="26"/>
          <w:szCs w:val="26"/>
        </w:rPr>
        <w:t>TOU</w:t>
      </w:r>
      <w:r w:rsidR="00906BE2" w:rsidRPr="00E951F4">
        <w:rPr>
          <w:sz w:val="26"/>
          <w:szCs w:val="26"/>
        </w:rPr>
        <w:t xml:space="preserve"> </w:t>
      </w:r>
      <w:r w:rsidR="00BA6144" w:rsidRPr="00E951F4">
        <w:rPr>
          <w:sz w:val="26"/>
          <w:szCs w:val="26"/>
        </w:rPr>
        <w:t>Pilot Program as proposed at Paragraphs 47-53 of the Default Service Plan</w:t>
      </w:r>
      <w:r w:rsidR="008A3AF8" w:rsidRPr="00E951F4">
        <w:rPr>
          <w:sz w:val="26"/>
          <w:szCs w:val="26"/>
        </w:rPr>
        <w:t>,</w:t>
      </w:r>
      <w:r w:rsidR="00BA6144" w:rsidRPr="00E951F4">
        <w:rPr>
          <w:sz w:val="26"/>
          <w:szCs w:val="26"/>
        </w:rPr>
        <w:t xml:space="preserve"> with five modifications set forth in subparagraphs a-e of the Joint Stipulation</w:t>
      </w:r>
      <w:r w:rsidR="00977CA5" w:rsidRPr="00E951F4">
        <w:rPr>
          <w:sz w:val="26"/>
          <w:szCs w:val="26"/>
        </w:rPr>
        <w:t xml:space="preserve"> (EV-TOU Stipulation)</w:t>
      </w:r>
      <w:r w:rsidR="00BA6144" w:rsidRPr="00E951F4">
        <w:rPr>
          <w:sz w:val="26"/>
          <w:szCs w:val="26"/>
        </w:rPr>
        <w:t>.</w:t>
      </w:r>
      <w:r w:rsidR="0019622E" w:rsidRPr="00E951F4">
        <w:rPr>
          <w:sz w:val="26"/>
          <w:szCs w:val="26"/>
        </w:rPr>
        <w:t xml:space="preserve">  None of the Parties filed objections to the Stipulations.</w:t>
      </w:r>
    </w:p>
    <w:p w14:paraId="50936740" w14:textId="77777777" w:rsidR="00977CA5" w:rsidRPr="00E951F4" w:rsidRDefault="00977CA5" w:rsidP="00E951F4">
      <w:pPr>
        <w:widowControl/>
        <w:kinsoku w:val="0"/>
        <w:overflowPunct w:val="0"/>
        <w:spacing w:line="360" w:lineRule="auto"/>
        <w:ind w:firstLine="1440"/>
        <w:textAlignment w:val="baseline"/>
        <w:rPr>
          <w:sz w:val="26"/>
          <w:szCs w:val="26"/>
        </w:rPr>
      </w:pPr>
    </w:p>
    <w:p w14:paraId="757E2964" w14:textId="210DF13F" w:rsidR="00BA6144" w:rsidRPr="00E951F4" w:rsidRDefault="00BA6144" w:rsidP="00E951F4">
      <w:pPr>
        <w:widowControl/>
        <w:kinsoku w:val="0"/>
        <w:overflowPunct w:val="0"/>
        <w:spacing w:line="360" w:lineRule="auto"/>
        <w:ind w:firstLine="1440"/>
        <w:textAlignment w:val="baseline"/>
        <w:rPr>
          <w:sz w:val="26"/>
          <w:szCs w:val="26"/>
        </w:rPr>
      </w:pPr>
      <w:r w:rsidRPr="00E951F4">
        <w:rPr>
          <w:sz w:val="26"/>
          <w:szCs w:val="26"/>
        </w:rPr>
        <w:t xml:space="preserve">On October 6, 2020, </w:t>
      </w:r>
      <w:r w:rsidR="00DE3A42" w:rsidRPr="00E951F4">
        <w:rPr>
          <w:sz w:val="26"/>
          <w:szCs w:val="26"/>
        </w:rPr>
        <w:t xml:space="preserve">the ALJ issued </w:t>
      </w:r>
      <w:r w:rsidRPr="00E951F4">
        <w:rPr>
          <w:sz w:val="26"/>
          <w:szCs w:val="26"/>
        </w:rPr>
        <w:t xml:space="preserve">a First Interim Order admitting the </w:t>
      </w:r>
      <w:r w:rsidR="00110337" w:rsidRPr="00E951F4">
        <w:rPr>
          <w:sz w:val="26"/>
          <w:szCs w:val="26"/>
        </w:rPr>
        <w:t>J</w:t>
      </w:r>
      <w:r w:rsidRPr="00E951F4">
        <w:rPr>
          <w:sz w:val="26"/>
          <w:szCs w:val="26"/>
        </w:rPr>
        <w:t xml:space="preserve">oint </w:t>
      </w:r>
      <w:r w:rsidR="00110337" w:rsidRPr="00E951F4">
        <w:rPr>
          <w:sz w:val="26"/>
          <w:szCs w:val="26"/>
        </w:rPr>
        <w:t>S</w:t>
      </w:r>
      <w:r w:rsidRPr="00E951F4">
        <w:rPr>
          <w:sz w:val="26"/>
          <w:szCs w:val="26"/>
        </w:rPr>
        <w:t xml:space="preserve">tipulations filed on September 30, 2020 into evidence and directing the </w:t>
      </w:r>
      <w:r w:rsidR="00F36D46" w:rsidRPr="00E951F4">
        <w:rPr>
          <w:sz w:val="26"/>
          <w:szCs w:val="26"/>
        </w:rPr>
        <w:t>P</w:t>
      </w:r>
      <w:r w:rsidRPr="00E951F4">
        <w:rPr>
          <w:sz w:val="26"/>
          <w:szCs w:val="26"/>
        </w:rPr>
        <w:t xml:space="preserve">arties to address the </w:t>
      </w:r>
      <w:r w:rsidR="00F36D46" w:rsidRPr="00E951F4">
        <w:rPr>
          <w:sz w:val="26"/>
          <w:szCs w:val="26"/>
        </w:rPr>
        <w:t>J</w:t>
      </w:r>
      <w:r w:rsidRPr="00E951F4">
        <w:rPr>
          <w:sz w:val="26"/>
          <w:szCs w:val="26"/>
        </w:rPr>
        <w:t xml:space="preserve">oint </w:t>
      </w:r>
      <w:r w:rsidR="00F36D46" w:rsidRPr="00E951F4">
        <w:rPr>
          <w:sz w:val="26"/>
          <w:szCs w:val="26"/>
        </w:rPr>
        <w:t>S</w:t>
      </w:r>
      <w:r w:rsidRPr="00E951F4">
        <w:rPr>
          <w:sz w:val="26"/>
          <w:szCs w:val="26"/>
        </w:rPr>
        <w:t xml:space="preserve">tipulations in their </w:t>
      </w:r>
      <w:r w:rsidR="00F36D46" w:rsidRPr="00E951F4">
        <w:rPr>
          <w:sz w:val="26"/>
          <w:szCs w:val="26"/>
        </w:rPr>
        <w:t>Reply Briefs</w:t>
      </w:r>
      <w:r w:rsidRPr="00E951F4">
        <w:rPr>
          <w:sz w:val="26"/>
          <w:szCs w:val="26"/>
        </w:rPr>
        <w:t>.</w:t>
      </w:r>
    </w:p>
    <w:p w14:paraId="5423BE0A" w14:textId="77777777" w:rsidR="009C5C82" w:rsidRPr="00E951F4" w:rsidRDefault="009C5C82" w:rsidP="00E951F4">
      <w:pPr>
        <w:widowControl/>
        <w:kinsoku w:val="0"/>
        <w:overflowPunct w:val="0"/>
        <w:spacing w:line="360" w:lineRule="auto"/>
        <w:ind w:firstLine="1440"/>
        <w:textAlignment w:val="baseline"/>
        <w:rPr>
          <w:sz w:val="26"/>
          <w:szCs w:val="26"/>
        </w:rPr>
      </w:pPr>
    </w:p>
    <w:p w14:paraId="617960CE" w14:textId="439F9A10" w:rsidR="00BA6144" w:rsidRPr="00E951F4" w:rsidRDefault="00BA6144" w:rsidP="00E951F4">
      <w:pPr>
        <w:widowControl/>
        <w:kinsoku w:val="0"/>
        <w:overflowPunct w:val="0"/>
        <w:spacing w:line="360" w:lineRule="auto"/>
        <w:ind w:firstLine="1440"/>
        <w:textAlignment w:val="baseline"/>
        <w:rPr>
          <w:sz w:val="26"/>
          <w:szCs w:val="26"/>
        </w:rPr>
      </w:pPr>
      <w:r w:rsidRPr="00E951F4">
        <w:rPr>
          <w:sz w:val="26"/>
          <w:szCs w:val="26"/>
        </w:rPr>
        <w:t xml:space="preserve">On October 13, 2020, </w:t>
      </w:r>
      <w:r w:rsidR="00F851E5" w:rsidRPr="00E951F4">
        <w:rPr>
          <w:sz w:val="26"/>
          <w:szCs w:val="26"/>
        </w:rPr>
        <w:t xml:space="preserve">NRDC, CAUSE-PA, </w:t>
      </w:r>
      <w:r w:rsidR="00FC29C2" w:rsidRPr="00E951F4">
        <w:rPr>
          <w:sz w:val="26"/>
          <w:szCs w:val="26"/>
        </w:rPr>
        <w:t xml:space="preserve">the EGS Parties, Duquesne Light, MAREC, </w:t>
      </w:r>
      <w:r w:rsidR="00D21A55" w:rsidRPr="00E951F4">
        <w:rPr>
          <w:sz w:val="26"/>
          <w:szCs w:val="26"/>
        </w:rPr>
        <w:t>Calpine, and the OCA filed R</w:t>
      </w:r>
      <w:r w:rsidRPr="00E951F4">
        <w:rPr>
          <w:sz w:val="26"/>
          <w:szCs w:val="26"/>
        </w:rPr>
        <w:t xml:space="preserve">eply </w:t>
      </w:r>
      <w:r w:rsidR="00D21A55" w:rsidRPr="00E951F4">
        <w:rPr>
          <w:sz w:val="26"/>
          <w:szCs w:val="26"/>
        </w:rPr>
        <w:t>B</w:t>
      </w:r>
      <w:r w:rsidRPr="00E951F4">
        <w:rPr>
          <w:sz w:val="26"/>
          <w:szCs w:val="26"/>
        </w:rPr>
        <w:t xml:space="preserve">riefs. </w:t>
      </w:r>
      <w:r w:rsidR="00D21A55" w:rsidRPr="00E951F4">
        <w:rPr>
          <w:sz w:val="26"/>
          <w:szCs w:val="26"/>
        </w:rPr>
        <w:t xml:space="preserve"> </w:t>
      </w:r>
      <w:r w:rsidRPr="00E951F4">
        <w:rPr>
          <w:sz w:val="26"/>
          <w:szCs w:val="26"/>
        </w:rPr>
        <w:t xml:space="preserve">Additionally, </w:t>
      </w:r>
      <w:r w:rsidR="00073B1A" w:rsidRPr="00E951F4">
        <w:rPr>
          <w:sz w:val="26"/>
          <w:szCs w:val="26"/>
        </w:rPr>
        <w:t xml:space="preserve">on </w:t>
      </w:r>
      <w:r w:rsidR="00C874B5" w:rsidRPr="00E951F4">
        <w:rPr>
          <w:sz w:val="26"/>
          <w:szCs w:val="26"/>
        </w:rPr>
        <w:t>October</w:t>
      </w:r>
      <w:r w:rsidR="006333F7">
        <w:rPr>
          <w:sz w:val="26"/>
          <w:szCs w:val="26"/>
        </w:rPr>
        <w:t> </w:t>
      </w:r>
      <w:r w:rsidR="00C874B5" w:rsidRPr="00E951F4">
        <w:rPr>
          <w:sz w:val="26"/>
          <w:szCs w:val="26"/>
        </w:rPr>
        <w:t>13,</w:t>
      </w:r>
      <w:r w:rsidR="006333F7">
        <w:rPr>
          <w:sz w:val="26"/>
          <w:szCs w:val="26"/>
        </w:rPr>
        <w:t> </w:t>
      </w:r>
      <w:r w:rsidR="00C874B5" w:rsidRPr="00E951F4">
        <w:rPr>
          <w:sz w:val="26"/>
          <w:szCs w:val="26"/>
        </w:rPr>
        <w:t xml:space="preserve">2020, </w:t>
      </w:r>
      <w:r w:rsidRPr="00E951F4">
        <w:rPr>
          <w:sz w:val="26"/>
          <w:szCs w:val="26"/>
        </w:rPr>
        <w:t xml:space="preserve">Duquesne Light, </w:t>
      </w:r>
      <w:r w:rsidR="00710684" w:rsidRPr="00E951F4">
        <w:rPr>
          <w:sz w:val="26"/>
          <w:szCs w:val="26"/>
        </w:rPr>
        <w:t xml:space="preserve">the </w:t>
      </w:r>
      <w:r w:rsidRPr="00E951F4">
        <w:rPr>
          <w:sz w:val="26"/>
          <w:szCs w:val="26"/>
        </w:rPr>
        <w:t xml:space="preserve">OCA, </w:t>
      </w:r>
      <w:r w:rsidR="00AE4F84" w:rsidRPr="00E951F4">
        <w:rPr>
          <w:sz w:val="26"/>
          <w:szCs w:val="26"/>
        </w:rPr>
        <w:t xml:space="preserve">the </w:t>
      </w:r>
      <w:r w:rsidRPr="00E951F4">
        <w:rPr>
          <w:sz w:val="26"/>
          <w:szCs w:val="26"/>
        </w:rPr>
        <w:t>OSBA, CAUSE-PA and NRDC</w:t>
      </w:r>
      <w:r w:rsidR="00AE4F84" w:rsidRPr="00E951F4">
        <w:rPr>
          <w:sz w:val="26"/>
          <w:szCs w:val="26"/>
        </w:rPr>
        <w:t xml:space="preserve"> </w:t>
      </w:r>
      <w:r w:rsidR="003B2AEE" w:rsidRPr="00E951F4">
        <w:rPr>
          <w:sz w:val="26"/>
          <w:szCs w:val="26"/>
        </w:rPr>
        <w:t xml:space="preserve">(collectively, the Joint Petitioners) </w:t>
      </w:r>
      <w:r w:rsidR="00AE4F84" w:rsidRPr="00E951F4">
        <w:rPr>
          <w:sz w:val="26"/>
          <w:szCs w:val="26"/>
        </w:rPr>
        <w:t>filed a Joint Petition for Approval of Unopposed Partial Settlement</w:t>
      </w:r>
      <w:r w:rsidR="00156D63" w:rsidRPr="00E951F4">
        <w:rPr>
          <w:sz w:val="26"/>
          <w:szCs w:val="26"/>
        </w:rPr>
        <w:t xml:space="preserve"> (</w:t>
      </w:r>
      <w:r w:rsidR="00313D6A" w:rsidRPr="00E951F4">
        <w:rPr>
          <w:sz w:val="26"/>
          <w:szCs w:val="26"/>
        </w:rPr>
        <w:t>Partial Settlement</w:t>
      </w:r>
      <w:r w:rsidR="00130824" w:rsidRPr="00E951F4">
        <w:rPr>
          <w:sz w:val="26"/>
          <w:szCs w:val="26"/>
        </w:rPr>
        <w:t>)</w:t>
      </w:r>
      <w:r w:rsidRPr="00E951F4">
        <w:rPr>
          <w:sz w:val="26"/>
          <w:szCs w:val="26"/>
        </w:rPr>
        <w:t>.</w:t>
      </w:r>
      <w:r w:rsidR="00DA4DEE" w:rsidRPr="00E951F4">
        <w:rPr>
          <w:rStyle w:val="FootnoteReference"/>
          <w:sz w:val="26"/>
          <w:szCs w:val="26"/>
        </w:rPr>
        <w:footnoteReference w:id="3"/>
      </w:r>
      <w:r w:rsidRPr="00E951F4">
        <w:rPr>
          <w:sz w:val="26"/>
          <w:szCs w:val="26"/>
        </w:rPr>
        <w:t xml:space="preserve"> </w:t>
      </w:r>
      <w:r w:rsidR="00C67239" w:rsidRPr="00E951F4">
        <w:rPr>
          <w:sz w:val="26"/>
          <w:szCs w:val="26"/>
        </w:rPr>
        <w:t xml:space="preserve"> </w:t>
      </w:r>
      <w:r w:rsidRPr="00E951F4">
        <w:rPr>
          <w:sz w:val="26"/>
          <w:szCs w:val="26"/>
        </w:rPr>
        <w:t>The record closed on October 13, 2020.</w:t>
      </w:r>
      <w:r w:rsidR="00C67239" w:rsidRPr="00E951F4">
        <w:rPr>
          <w:sz w:val="26"/>
          <w:szCs w:val="26"/>
        </w:rPr>
        <w:t xml:space="preserve">  </w:t>
      </w:r>
    </w:p>
    <w:p w14:paraId="5FE49098" w14:textId="5E8C007E" w:rsidR="00EF39AD" w:rsidRPr="00E951F4" w:rsidRDefault="00EF39AD" w:rsidP="00E951F4">
      <w:pPr>
        <w:widowControl/>
        <w:kinsoku w:val="0"/>
        <w:overflowPunct w:val="0"/>
        <w:spacing w:line="360" w:lineRule="auto"/>
        <w:ind w:firstLine="1440"/>
        <w:textAlignment w:val="baseline"/>
        <w:rPr>
          <w:sz w:val="26"/>
          <w:szCs w:val="26"/>
        </w:rPr>
      </w:pPr>
    </w:p>
    <w:p w14:paraId="798DE746" w14:textId="77777777" w:rsidR="004B5106" w:rsidRPr="00E951F4" w:rsidRDefault="001569B5" w:rsidP="00E951F4">
      <w:pPr>
        <w:widowControl/>
        <w:kinsoku w:val="0"/>
        <w:overflowPunct w:val="0"/>
        <w:spacing w:line="360" w:lineRule="auto"/>
        <w:ind w:firstLine="1440"/>
        <w:textAlignment w:val="baseline"/>
        <w:rPr>
          <w:sz w:val="26"/>
          <w:szCs w:val="26"/>
        </w:rPr>
      </w:pPr>
      <w:r w:rsidRPr="00E951F4">
        <w:rPr>
          <w:sz w:val="26"/>
          <w:szCs w:val="26"/>
        </w:rPr>
        <w:t>In the Recommended Decision</w:t>
      </w:r>
      <w:r w:rsidR="00E47837" w:rsidRPr="00E951F4">
        <w:rPr>
          <w:sz w:val="26"/>
          <w:szCs w:val="26"/>
        </w:rPr>
        <w:t xml:space="preserve"> served on November 12, 2020, </w:t>
      </w:r>
      <w:r w:rsidR="00AA3E27" w:rsidRPr="00E951F4">
        <w:rPr>
          <w:sz w:val="26"/>
          <w:szCs w:val="26"/>
        </w:rPr>
        <w:t>ALJ Hoyer recommended approval of Duquesne</w:t>
      </w:r>
      <w:r w:rsidR="003E6CC5" w:rsidRPr="00E951F4">
        <w:rPr>
          <w:sz w:val="26"/>
          <w:szCs w:val="26"/>
        </w:rPr>
        <w:t xml:space="preserve"> Light’s Default Service Plan, as modified by the Partial Settlement</w:t>
      </w:r>
      <w:r w:rsidR="00AC49DD" w:rsidRPr="00E951F4">
        <w:rPr>
          <w:sz w:val="26"/>
          <w:szCs w:val="26"/>
        </w:rPr>
        <w:t>, the EV-TOU Stipulation, and the SOP Stipulation</w:t>
      </w:r>
      <w:r w:rsidR="00CC0633" w:rsidRPr="00E951F4">
        <w:rPr>
          <w:sz w:val="26"/>
          <w:szCs w:val="26"/>
        </w:rPr>
        <w:t xml:space="preserve"> and CAP Shopping Stipulation.  </w:t>
      </w:r>
    </w:p>
    <w:p w14:paraId="7BF7632E" w14:textId="77777777" w:rsidR="004B5106" w:rsidRPr="00E951F4" w:rsidRDefault="004B5106" w:rsidP="00E951F4">
      <w:pPr>
        <w:widowControl/>
        <w:kinsoku w:val="0"/>
        <w:overflowPunct w:val="0"/>
        <w:spacing w:line="360" w:lineRule="auto"/>
        <w:ind w:firstLine="1440"/>
        <w:textAlignment w:val="baseline"/>
        <w:rPr>
          <w:sz w:val="26"/>
          <w:szCs w:val="26"/>
        </w:rPr>
      </w:pPr>
    </w:p>
    <w:p w14:paraId="3BFBC37B" w14:textId="3D688C1B" w:rsidR="00EF39AD" w:rsidRPr="00E951F4" w:rsidRDefault="004B5106" w:rsidP="006333F7">
      <w:pPr>
        <w:widowControl/>
        <w:kinsoku w:val="0"/>
        <w:overflowPunct w:val="0"/>
        <w:spacing w:line="360" w:lineRule="auto"/>
        <w:ind w:firstLine="1440"/>
        <w:textAlignment w:val="baseline"/>
        <w:rPr>
          <w:sz w:val="26"/>
          <w:szCs w:val="26"/>
        </w:rPr>
      </w:pPr>
      <w:r w:rsidRPr="00E951F4">
        <w:rPr>
          <w:sz w:val="26"/>
          <w:szCs w:val="26"/>
        </w:rPr>
        <w:t xml:space="preserve">As previously noted, on November 23, 2020, the EGS Parties and MAREC </w:t>
      </w:r>
      <w:r w:rsidR="00AA668C" w:rsidRPr="00E951F4">
        <w:rPr>
          <w:sz w:val="26"/>
          <w:szCs w:val="26"/>
        </w:rPr>
        <w:t xml:space="preserve">filed Exceptions </w:t>
      </w:r>
      <w:r w:rsidRPr="00E951F4">
        <w:rPr>
          <w:sz w:val="26"/>
          <w:szCs w:val="26"/>
        </w:rPr>
        <w:t xml:space="preserve">to the Recommended Decision.  </w:t>
      </w:r>
      <w:r w:rsidR="006B0655" w:rsidRPr="00E951F4">
        <w:rPr>
          <w:sz w:val="26"/>
          <w:szCs w:val="26"/>
        </w:rPr>
        <w:t xml:space="preserve">Calpine, the OCA, I&amp;E, and Duquesne Light filed letters indicating that they would not be filing Exceptions.  </w:t>
      </w:r>
      <w:r w:rsidRPr="00E951F4">
        <w:rPr>
          <w:sz w:val="26"/>
          <w:szCs w:val="26"/>
        </w:rPr>
        <w:t xml:space="preserve">On November 30, </w:t>
      </w:r>
      <w:r w:rsidR="00B67FBA" w:rsidRPr="00E951F4">
        <w:rPr>
          <w:sz w:val="26"/>
          <w:szCs w:val="26"/>
        </w:rPr>
        <w:t>2020</w:t>
      </w:r>
      <w:r w:rsidR="00407892" w:rsidRPr="00E951F4">
        <w:rPr>
          <w:sz w:val="26"/>
          <w:szCs w:val="26"/>
        </w:rPr>
        <w:t xml:space="preserve">, </w:t>
      </w:r>
      <w:r w:rsidRPr="00E951F4">
        <w:rPr>
          <w:sz w:val="26"/>
          <w:szCs w:val="26"/>
        </w:rPr>
        <w:t xml:space="preserve">Duquesne Light, the OCA, CAUSE-PA, NRDC, and Calpine filed </w:t>
      </w:r>
      <w:r w:rsidR="00AA668C" w:rsidRPr="00E951F4">
        <w:rPr>
          <w:sz w:val="26"/>
          <w:szCs w:val="26"/>
        </w:rPr>
        <w:t xml:space="preserve">Replies to </w:t>
      </w:r>
      <w:r w:rsidR="00AA668C" w:rsidRPr="00E951F4">
        <w:rPr>
          <w:sz w:val="26"/>
          <w:szCs w:val="26"/>
        </w:rPr>
        <w:lastRenderedPageBreak/>
        <w:t>Exceptions.</w:t>
      </w:r>
      <w:r w:rsidR="006B0655" w:rsidRPr="00E951F4">
        <w:rPr>
          <w:sz w:val="26"/>
          <w:szCs w:val="26"/>
        </w:rPr>
        <w:t xml:space="preserve">  I&amp;E and MAREC each filed a letter indicating they were not filing Replies to Exceptions. </w:t>
      </w:r>
      <w:r w:rsidR="00AA668C" w:rsidRPr="00E951F4">
        <w:rPr>
          <w:sz w:val="26"/>
          <w:szCs w:val="26"/>
        </w:rPr>
        <w:t xml:space="preserve"> </w:t>
      </w:r>
    </w:p>
    <w:p w14:paraId="3A8EF3FB" w14:textId="1932B6C2" w:rsidR="006B0655" w:rsidRPr="00E951F4" w:rsidRDefault="006B0655" w:rsidP="006333F7">
      <w:pPr>
        <w:widowControl/>
        <w:kinsoku w:val="0"/>
        <w:overflowPunct w:val="0"/>
        <w:spacing w:line="360" w:lineRule="auto"/>
        <w:ind w:firstLine="1440"/>
        <w:textAlignment w:val="baseline"/>
        <w:rPr>
          <w:sz w:val="26"/>
          <w:szCs w:val="26"/>
        </w:rPr>
      </w:pPr>
    </w:p>
    <w:p w14:paraId="1791E37F" w14:textId="4C1B05EF" w:rsidR="00315708" w:rsidRPr="00E951F4" w:rsidRDefault="00315708" w:rsidP="006333F7">
      <w:pPr>
        <w:pStyle w:val="Heading1"/>
        <w:keepNext/>
        <w:ind w:left="0" w:firstLine="0"/>
      </w:pPr>
      <w:bookmarkStart w:id="8" w:name="_Toc56512751"/>
      <w:bookmarkStart w:id="9" w:name="_Toc59620119"/>
      <w:bookmarkStart w:id="10" w:name="_Toc60912015"/>
      <w:r w:rsidRPr="00E951F4">
        <w:t>Legal Standards</w:t>
      </w:r>
      <w:bookmarkEnd w:id="8"/>
      <w:bookmarkEnd w:id="9"/>
      <w:bookmarkEnd w:id="10"/>
    </w:p>
    <w:p w14:paraId="52D13A41" w14:textId="77777777" w:rsidR="00315708" w:rsidRPr="00E951F4" w:rsidRDefault="00315708" w:rsidP="006333F7">
      <w:pPr>
        <w:keepNext/>
        <w:widowControl/>
        <w:spacing w:line="360" w:lineRule="auto"/>
        <w:rPr>
          <w:sz w:val="26"/>
          <w:szCs w:val="26"/>
        </w:rPr>
      </w:pPr>
    </w:p>
    <w:p w14:paraId="3FB4B584" w14:textId="63E0F5CB" w:rsidR="00315708" w:rsidRPr="00E951F4" w:rsidRDefault="00315708" w:rsidP="006333F7">
      <w:pPr>
        <w:pStyle w:val="ListParagraph"/>
        <w:keepNext/>
        <w:numPr>
          <w:ilvl w:val="0"/>
          <w:numId w:val="49"/>
        </w:numPr>
        <w:spacing w:line="360" w:lineRule="auto"/>
        <w:ind w:hanging="720"/>
        <w:rPr>
          <w:b/>
          <w:bCs/>
          <w:sz w:val="26"/>
          <w:szCs w:val="26"/>
        </w:rPr>
      </w:pPr>
      <w:bookmarkStart w:id="11" w:name="_Toc56512752"/>
      <w:r w:rsidRPr="00E951F4">
        <w:rPr>
          <w:b/>
          <w:bCs/>
          <w:sz w:val="26"/>
          <w:szCs w:val="26"/>
        </w:rPr>
        <w:t>Burden of Proof</w:t>
      </w:r>
      <w:bookmarkEnd w:id="11"/>
    </w:p>
    <w:p w14:paraId="26A5D9B6" w14:textId="77777777" w:rsidR="00C47B6F" w:rsidRPr="00E951F4" w:rsidRDefault="00C47B6F" w:rsidP="006333F7">
      <w:pPr>
        <w:keepNext/>
        <w:widowControl/>
        <w:spacing w:line="360" w:lineRule="auto"/>
        <w:ind w:firstLine="720"/>
        <w:rPr>
          <w:b/>
          <w:bCs/>
          <w:sz w:val="26"/>
          <w:szCs w:val="26"/>
        </w:rPr>
      </w:pPr>
    </w:p>
    <w:p w14:paraId="479CD559" w14:textId="5F63A79A" w:rsidR="00315708" w:rsidRPr="00E951F4" w:rsidRDefault="00315708" w:rsidP="006333F7">
      <w:pPr>
        <w:keepNext/>
        <w:widowControl/>
        <w:spacing w:line="360" w:lineRule="auto"/>
        <w:ind w:firstLine="1440"/>
        <w:contextualSpacing/>
        <w:rPr>
          <w:sz w:val="26"/>
          <w:szCs w:val="26"/>
        </w:rPr>
      </w:pPr>
      <w:r w:rsidRPr="00E951F4">
        <w:rPr>
          <w:sz w:val="26"/>
          <w:szCs w:val="26"/>
        </w:rPr>
        <w:t>In this proceeding, the Company seeks approval of its plan to procure default service supply and, as such, has the burden of proving that its proposed DSP</w:t>
      </w:r>
      <w:r w:rsidR="00F75BC8" w:rsidRPr="00E951F4">
        <w:rPr>
          <w:sz w:val="26"/>
          <w:szCs w:val="26"/>
        </w:rPr>
        <w:t xml:space="preserve"> </w:t>
      </w:r>
      <w:r w:rsidR="009228B6" w:rsidRPr="00E951F4">
        <w:rPr>
          <w:sz w:val="26"/>
          <w:szCs w:val="26"/>
        </w:rPr>
        <w:t>IX</w:t>
      </w:r>
      <w:r w:rsidRPr="00E951F4">
        <w:rPr>
          <w:sz w:val="26"/>
          <w:szCs w:val="26"/>
        </w:rPr>
        <w:t xml:space="preserve"> complies with the legal requirements.  The proponent of a rule or order in any Commission proceeding bears the burden of proof, 66 Pa.</w:t>
      </w:r>
      <w:r w:rsidR="00EF08C7" w:rsidRPr="00E951F4">
        <w:rPr>
          <w:sz w:val="26"/>
          <w:szCs w:val="26"/>
        </w:rPr>
        <w:t xml:space="preserve"> </w:t>
      </w:r>
      <w:r w:rsidRPr="00E951F4">
        <w:rPr>
          <w:sz w:val="26"/>
          <w:szCs w:val="26"/>
        </w:rPr>
        <w:t>C.S. § 332</w:t>
      </w:r>
      <w:r w:rsidR="00EF08C7" w:rsidRPr="00E951F4">
        <w:rPr>
          <w:sz w:val="26"/>
          <w:szCs w:val="26"/>
        </w:rPr>
        <w:t>(a)</w:t>
      </w:r>
      <w:r w:rsidRPr="00E951F4">
        <w:rPr>
          <w:sz w:val="26"/>
          <w:szCs w:val="26"/>
        </w:rPr>
        <w:t xml:space="preserve">, and therefore, the Company has the burden of proving its case by a preponderance of the evidence.  </w:t>
      </w:r>
      <w:r w:rsidRPr="00E951F4">
        <w:rPr>
          <w:i/>
          <w:sz w:val="26"/>
          <w:szCs w:val="26"/>
        </w:rPr>
        <w:t>Samuel J. Lansberry, Inc. v. Pa. PUC</w:t>
      </w:r>
      <w:r w:rsidRPr="00E951F4">
        <w:rPr>
          <w:sz w:val="26"/>
          <w:szCs w:val="26"/>
        </w:rPr>
        <w:t xml:space="preserve">, 578 A.2d 600 (Pa. Cmwlth. 1990), </w:t>
      </w:r>
      <w:r w:rsidRPr="00E951F4">
        <w:rPr>
          <w:i/>
          <w:sz w:val="26"/>
          <w:szCs w:val="26"/>
        </w:rPr>
        <w:t>alloc. denied</w:t>
      </w:r>
      <w:r w:rsidRPr="00E951F4">
        <w:rPr>
          <w:sz w:val="26"/>
          <w:szCs w:val="26"/>
        </w:rPr>
        <w:t>, 529 Pa. 654, 602 A.2d 863 (1992).  That is, the Company</w:t>
      </w:r>
      <w:r w:rsidR="00F776A7" w:rsidRPr="00E951F4">
        <w:rPr>
          <w:sz w:val="26"/>
          <w:szCs w:val="26"/>
        </w:rPr>
        <w:t>’</w:t>
      </w:r>
      <w:r w:rsidRPr="00E951F4">
        <w:rPr>
          <w:sz w:val="26"/>
          <w:szCs w:val="26"/>
        </w:rPr>
        <w:t xml:space="preserve">s evidence must be more convincing, by even the smallest amount, than the evidence presented by the other parties.  </w:t>
      </w:r>
      <w:r w:rsidRPr="00E951F4">
        <w:rPr>
          <w:i/>
          <w:sz w:val="26"/>
          <w:szCs w:val="26"/>
        </w:rPr>
        <w:t>Se-Ling Hosiery, Inc. v. Margulies</w:t>
      </w:r>
      <w:r w:rsidRPr="00E951F4">
        <w:rPr>
          <w:sz w:val="26"/>
          <w:szCs w:val="26"/>
        </w:rPr>
        <w:t>, 364 Pa. 45, 70 A.2d 854 (1950).</w:t>
      </w:r>
    </w:p>
    <w:p w14:paraId="66B19B82" w14:textId="77777777" w:rsidR="00640EAC" w:rsidRPr="00E951F4" w:rsidRDefault="00640EAC" w:rsidP="00E951F4">
      <w:pPr>
        <w:widowControl/>
        <w:spacing w:line="360" w:lineRule="auto"/>
        <w:contextualSpacing/>
        <w:rPr>
          <w:sz w:val="26"/>
          <w:szCs w:val="26"/>
        </w:rPr>
      </w:pPr>
    </w:p>
    <w:p w14:paraId="46A7C4CF" w14:textId="3DED1B04" w:rsidR="00315708" w:rsidRPr="00E951F4" w:rsidRDefault="00315708" w:rsidP="00E951F4">
      <w:pPr>
        <w:widowControl/>
        <w:spacing w:line="360" w:lineRule="auto"/>
        <w:contextualSpacing/>
        <w:rPr>
          <w:sz w:val="26"/>
          <w:szCs w:val="26"/>
        </w:rPr>
      </w:pPr>
      <w:r w:rsidRPr="00E951F4">
        <w:rPr>
          <w:sz w:val="26"/>
          <w:szCs w:val="26"/>
        </w:rPr>
        <w:tab/>
      </w:r>
      <w:r w:rsidRPr="00E951F4">
        <w:rPr>
          <w:sz w:val="26"/>
          <w:szCs w:val="26"/>
        </w:rPr>
        <w:tab/>
        <w:t>Additionally, this Commission</w:t>
      </w:r>
      <w:r w:rsidR="00F776A7" w:rsidRPr="00E951F4">
        <w:rPr>
          <w:sz w:val="26"/>
          <w:szCs w:val="26"/>
        </w:rPr>
        <w:t>’</w:t>
      </w:r>
      <w:r w:rsidRPr="00E951F4">
        <w:rPr>
          <w:sz w:val="26"/>
          <w:szCs w:val="26"/>
        </w:rPr>
        <w:t xml:space="preserve">s decision must be supported by substantial evidence in the record.  More is required than a mere trace of evidence or a suspicion of the existence of a fact sought to be established.  </w:t>
      </w:r>
      <w:r w:rsidRPr="00E951F4">
        <w:rPr>
          <w:i/>
          <w:sz w:val="26"/>
          <w:szCs w:val="26"/>
        </w:rPr>
        <w:t>Norfolk &amp; Western Ry. Co. v. Pa. PUC</w:t>
      </w:r>
      <w:r w:rsidRPr="006333F7">
        <w:rPr>
          <w:iCs/>
          <w:sz w:val="26"/>
          <w:szCs w:val="26"/>
        </w:rPr>
        <w:t>,</w:t>
      </w:r>
      <w:r w:rsidRPr="00E951F4">
        <w:rPr>
          <w:sz w:val="26"/>
          <w:szCs w:val="26"/>
        </w:rPr>
        <w:t xml:space="preserve"> 49 Pa. 109, 413 A.2d 1037 (1980).</w:t>
      </w:r>
      <w:r w:rsidRPr="00E951F4">
        <w:rPr>
          <w:i/>
          <w:sz w:val="26"/>
          <w:szCs w:val="26"/>
        </w:rPr>
        <w:t xml:space="preserve"> </w:t>
      </w:r>
      <w:r w:rsidRPr="00E951F4">
        <w:rPr>
          <w:sz w:val="26"/>
          <w:szCs w:val="26"/>
        </w:rPr>
        <w:t xml:space="preserve"> </w:t>
      </w:r>
    </w:p>
    <w:p w14:paraId="4C32309C" w14:textId="77777777" w:rsidR="00EB426A" w:rsidRPr="00E951F4" w:rsidRDefault="00EB426A" w:rsidP="00E951F4">
      <w:pPr>
        <w:widowControl/>
        <w:spacing w:line="360" w:lineRule="auto"/>
        <w:contextualSpacing/>
        <w:rPr>
          <w:sz w:val="26"/>
          <w:szCs w:val="26"/>
        </w:rPr>
      </w:pPr>
    </w:p>
    <w:p w14:paraId="0F76AD72" w14:textId="77777777" w:rsidR="00315708" w:rsidRPr="00E951F4" w:rsidRDefault="00315708" w:rsidP="00E951F4">
      <w:pPr>
        <w:widowControl/>
        <w:spacing w:line="360" w:lineRule="auto"/>
        <w:ind w:firstLine="1440"/>
        <w:contextualSpacing/>
        <w:rPr>
          <w:rStyle w:val="Hyperlink"/>
          <w:iCs/>
          <w:color w:val="auto"/>
          <w:sz w:val="26"/>
          <w:szCs w:val="26"/>
          <w:u w:val="none"/>
        </w:rPr>
      </w:pPr>
      <w:r w:rsidRPr="00E951F4">
        <w:rPr>
          <w:sz w:val="26"/>
          <w:szCs w:val="26"/>
        </w:rPr>
        <w:t xml:space="preserve">Upon the presentation by a utility of evidence sufficient to initially satisfy the burden of proof, the burden of going forward with the evidence to rebut the evidence of the utility shifts to the other parties.  If the evidence presented by the other parties is of co-equal value or “weight,” the burden of proof has not been satisfied.  The Company now has to provide some additional evidence to rebut that of the other parties. </w:t>
      </w:r>
      <w:r w:rsidRPr="00E951F4">
        <w:rPr>
          <w:iCs/>
          <w:sz w:val="26"/>
          <w:szCs w:val="26"/>
        </w:rPr>
        <w:t xml:space="preserve"> </w:t>
      </w:r>
      <w:hyperlink r:id="rId10" w:history="1">
        <w:r w:rsidRPr="00E951F4">
          <w:rPr>
            <w:rStyle w:val="Hyperlink"/>
            <w:i/>
            <w:iCs/>
            <w:color w:val="auto"/>
            <w:sz w:val="26"/>
            <w:szCs w:val="26"/>
            <w:u w:val="none"/>
          </w:rPr>
          <w:t>Burleson v. Pa. PUC</w:t>
        </w:r>
        <w:r w:rsidRPr="006333F7">
          <w:rPr>
            <w:rStyle w:val="Hyperlink"/>
            <w:color w:val="auto"/>
            <w:sz w:val="26"/>
            <w:szCs w:val="26"/>
            <w:u w:val="none"/>
          </w:rPr>
          <w:t>,</w:t>
        </w:r>
        <w:r w:rsidRPr="00E951F4">
          <w:rPr>
            <w:rStyle w:val="Hyperlink"/>
            <w:iCs/>
            <w:color w:val="auto"/>
            <w:sz w:val="26"/>
            <w:szCs w:val="26"/>
            <w:u w:val="none"/>
          </w:rPr>
          <w:t xml:space="preserve"> 443 A.2d 1373 (Pa. Cmwlth. 1982), </w:t>
        </w:r>
        <w:r w:rsidRPr="00E951F4">
          <w:rPr>
            <w:rStyle w:val="Hyperlink"/>
            <w:i/>
            <w:iCs/>
            <w:color w:val="auto"/>
            <w:sz w:val="26"/>
            <w:szCs w:val="26"/>
            <w:u w:val="none"/>
          </w:rPr>
          <w:t>aff</w:t>
        </w:r>
        <w:r w:rsidR="00F776A7" w:rsidRPr="00E951F4">
          <w:rPr>
            <w:rStyle w:val="Hyperlink"/>
            <w:i/>
            <w:iCs/>
            <w:color w:val="auto"/>
            <w:sz w:val="26"/>
            <w:szCs w:val="26"/>
            <w:u w:val="none"/>
          </w:rPr>
          <w:t>’</w:t>
        </w:r>
        <w:r w:rsidRPr="00E951F4">
          <w:rPr>
            <w:rStyle w:val="Hyperlink"/>
            <w:i/>
            <w:iCs/>
            <w:color w:val="auto"/>
            <w:sz w:val="26"/>
            <w:szCs w:val="26"/>
            <w:u w:val="none"/>
          </w:rPr>
          <w:t>d</w:t>
        </w:r>
        <w:r w:rsidRPr="006333F7">
          <w:rPr>
            <w:rStyle w:val="Hyperlink"/>
            <w:color w:val="auto"/>
            <w:sz w:val="26"/>
            <w:szCs w:val="26"/>
            <w:u w:val="none"/>
          </w:rPr>
          <w:t>,</w:t>
        </w:r>
        <w:r w:rsidRPr="00E951F4">
          <w:rPr>
            <w:rStyle w:val="Hyperlink"/>
            <w:iCs/>
            <w:color w:val="auto"/>
            <w:sz w:val="26"/>
            <w:szCs w:val="26"/>
            <w:u w:val="none"/>
          </w:rPr>
          <w:t xml:space="preserve"> 501 Pa. 433, 461 A.2d 1234 (1983).</w:t>
        </w:r>
      </w:hyperlink>
    </w:p>
    <w:p w14:paraId="3563BBD4" w14:textId="193377D8" w:rsidR="00315708" w:rsidRPr="00E951F4" w:rsidRDefault="00315708" w:rsidP="00E951F4">
      <w:pPr>
        <w:widowControl/>
        <w:spacing w:line="360" w:lineRule="auto"/>
        <w:ind w:firstLine="1440"/>
        <w:contextualSpacing/>
        <w:rPr>
          <w:sz w:val="26"/>
          <w:szCs w:val="26"/>
        </w:rPr>
      </w:pPr>
      <w:r w:rsidRPr="00E951F4">
        <w:rPr>
          <w:sz w:val="26"/>
          <w:szCs w:val="26"/>
        </w:rPr>
        <w:lastRenderedPageBreak/>
        <w:t xml:space="preserve">While the burden of going forward with the evidence may </w:t>
      </w:r>
      <w:r w:rsidRPr="00E951F4">
        <w:rPr>
          <w:rStyle w:val="term1"/>
          <w:b w:val="0"/>
          <w:sz w:val="26"/>
          <w:szCs w:val="26"/>
        </w:rPr>
        <w:t>shift</w:t>
      </w:r>
      <w:r w:rsidRPr="00E951F4">
        <w:rPr>
          <w:b/>
          <w:sz w:val="26"/>
          <w:szCs w:val="26"/>
        </w:rPr>
        <w:t xml:space="preserve"> </w:t>
      </w:r>
      <w:r w:rsidRPr="00E951F4">
        <w:rPr>
          <w:sz w:val="26"/>
          <w:szCs w:val="26"/>
        </w:rPr>
        <w:t xml:space="preserve">back and forth during a proceeding, the </w:t>
      </w:r>
      <w:r w:rsidRPr="00E951F4">
        <w:rPr>
          <w:rStyle w:val="term1"/>
          <w:b w:val="0"/>
          <w:sz w:val="26"/>
          <w:szCs w:val="26"/>
        </w:rPr>
        <w:t>burden of proof</w:t>
      </w:r>
      <w:r w:rsidRPr="00E951F4">
        <w:rPr>
          <w:sz w:val="26"/>
          <w:szCs w:val="26"/>
        </w:rPr>
        <w:t xml:space="preserve"> never </w:t>
      </w:r>
      <w:r w:rsidRPr="00E951F4">
        <w:rPr>
          <w:rStyle w:val="term1"/>
          <w:b w:val="0"/>
          <w:sz w:val="26"/>
          <w:szCs w:val="26"/>
        </w:rPr>
        <w:t>shifts.</w:t>
      </w:r>
      <w:r w:rsidRPr="00E951F4">
        <w:rPr>
          <w:rStyle w:val="term1"/>
          <w:sz w:val="26"/>
          <w:szCs w:val="26"/>
        </w:rPr>
        <w:t xml:space="preserve">  </w:t>
      </w:r>
      <w:r w:rsidRPr="00E951F4">
        <w:rPr>
          <w:rStyle w:val="term1"/>
          <w:b w:val="0"/>
          <w:sz w:val="26"/>
          <w:szCs w:val="26"/>
        </w:rPr>
        <w:t>The burden of proof</w:t>
      </w:r>
      <w:r w:rsidRPr="00E951F4">
        <w:rPr>
          <w:sz w:val="26"/>
          <w:szCs w:val="26"/>
        </w:rPr>
        <w:t xml:space="preserve"> always remains on the party seeking affirmative relief from the Commission.  </w:t>
      </w:r>
      <w:r w:rsidRPr="00E951F4">
        <w:rPr>
          <w:i/>
          <w:sz w:val="26"/>
          <w:szCs w:val="26"/>
        </w:rPr>
        <w:t>Milkie v. Pa. PUC</w:t>
      </w:r>
      <w:r w:rsidRPr="006333F7">
        <w:rPr>
          <w:iCs/>
          <w:sz w:val="26"/>
          <w:szCs w:val="26"/>
        </w:rPr>
        <w:t>,</w:t>
      </w:r>
      <w:r w:rsidRPr="00E951F4">
        <w:rPr>
          <w:i/>
          <w:sz w:val="26"/>
          <w:szCs w:val="26"/>
        </w:rPr>
        <w:t xml:space="preserve"> </w:t>
      </w:r>
      <w:r w:rsidRPr="00E951F4">
        <w:rPr>
          <w:sz w:val="26"/>
          <w:szCs w:val="26"/>
        </w:rPr>
        <w:t xml:space="preserve">768 A.2d 1217 (Pa. Cmwlth. 2001).  However, a party that offers a proposal in addition to what is sought by the original filing bears the burden of proof for such a proposal.  </w:t>
      </w:r>
      <w:r w:rsidRPr="00E951F4">
        <w:rPr>
          <w:i/>
          <w:sz w:val="26"/>
          <w:szCs w:val="26"/>
        </w:rPr>
        <w:t>Pa.</w:t>
      </w:r>
      <w:r w:rsidR="006333F7">
        <w:rPr>
          <w:i/>
          <w:sz w:val="26"/>
          <w:szCs w:val="26"/>
        </w:rPr>
        <w:t> </w:t>
      </w:r>
      <w:r w:rsidRPr="00E951F4">
        <w:rPr>
          <w:i/>
          <w:sz w:val="26"/>
          <w:szCs w:val="26"/>
        </w:rPr>
        <w:t xml:space="preserve">PUC, </w:t>
      </w:r>
      <w:r w:rsidR="00B00319" w:rsidRPr="00E951F4">
        <w:rPr>
          <w:i/>
          <w:sz w:val="26"/>
          <w:szCs w:val="26"/>
        </w:rPr>
        <w:t>et al.</w:t>
      </w:r>
      <w:r w:rsidRPr="00E951F4">
        <w:rPr>
          <w:i/>
          <w:sz w:val="26"/>
          <w:szCs w:val="26"/>
        </w:rPr>
        <w:t>, v. Metropolitan Edison Co.</w:t>
      </w:r>
      <w:r w:rsidR="00A65B02" w:rsidRPr="00E951F4">
        <w:rPr>
          <w:i/>
          <w:sz w:val="26"/>
          <w:szCs w:val="26"/>
        </w:rPr>
        <w:t xml:space="preserve"> (Metropolitan Edison Co.)</w:t>
      </w:r>
      <w:r w:rsidRPr="006333F7">
        <w:rPr>
          <w:iCs/>
          <w:sz w:val="26"/>
          <w:szCs w:val="26"/>
        </w:rPr>
        <w:t>,</w:t>
      </w:r>
      <w:r w:rsidRPr="00E951F4">
        <w:rPr>
          <w:sz w:val="26"/>
          <w:szCs w:val="26"/>
        </w:rPr>
        <w:t xml:space="preserve"> Docket No. R</w:t>
      </w:r>
      <w:r w:rsidR="006333F7">
        <w:rPr>
          <w:sz w:val="26"/>
          <w:szCs w:val="26"/>
        </w:rPr>
        <w:noBreakHyphen/>
      </w:r>
      <w:r w:rsidRPr="00E951F4">
        <w:rPr>
          <w:sz w:val="26"/>
          <w:szCs w:val="26"/>
        </w:rPr>
        <w:t>00061366C0001 (Order entered January 11, 2007</w:t>
      </w:r>
      <w:r w:rsidR="002C63D9" w:rsidRPr="00E951F4">
        <w:rPr>
          <w:sz w:val="26"/>
          <w:szCs w:val="26"/>
        </w:rPr>
        <w:t>)</w:t>
      </w:r>
      <w:r w:rsidRPr="00E951F4">
        <w:rPr>
          <w:sz w:val="26"/>
          <w:szCs w:val="26"/>
        </w:rPr>
        <w:t xml:space="preserve">; </w:t>
      </w:r>
      <w:r w:rsidRPr="00E951F4">
        <w:rPr>
          <w:i/>
          <w:sz w:val="26"/>
          <w:szCs w:val="26"/>
        </w:rPr>
        <w:t>Joint Default Service Plan for Citizens</w:t>
      </w:r>
      <w:r w:rsidR="00F776A7" w:rsidRPr="00E951F4">
        <w:rPr>
          <w:i/>
          <w:sz w:val="26"/>
          <w:szCs w:val="26"/>
        </w:rPr>
        <w:t>’</w:t>
      </w:r>
      <w:r w:rsidRPr="00E951F4">
        <w:rPr>
          <w:i/>
          <w:sz w:val="26"/>
          <w:szCs w:val="26"/>
        </w:rPr>
        <w:t xml:space="preserve"> Electric Co. of Lewisburg, PA and Wellsboro Electric Company for the Period of June 1, 2010 through May 31, 2013</w:t>
      </w:r>
      <w:r w:rsidR="00A65B02" w:rsidRPr="00E951F4">
        <w:rPr>
          <w:i/>
          <w:sz w:val="26"/>
          <w:szCs w:val="26"/>
        </w:rPr>
        <w:t xml:space="preserve"> (Citizens’ Electric Co.)</w:t>
      </w:r>
      <w:r w:rsidRPr="00E951F4">
        <w:rPr>
          <w:i/>
          <w:sz w:val="26"/>
          <w:szCs w:val="26"/>
        </w:rPr>
        <w:t>,</w:t>
      </w:r>
      <w:r w:rsidRPr="00E951F4">
        <w:rPr>
          <w:sz w:val="26"/>
          <w:szCs w:val="26"/>
        </w:rPr>
        <w:t xml:space="preserve"> Docket Nos. P</w:t>
      </w:r>
      <w:r w:rsidR="006333F7">
        <w:rPr>
          <w:sz w:val="26"/>
          <w:szCs w:val="26"/>
        </w:rPr>
        <w:noBreakHyphen/>
      </w:r>
      <w:r w:rsidRPr="00E951F4">
        <w:rPr>
          <w:sz w:val="26"/>
          <w:szCs w:val="26"/>
        </w:rPr>
        <w:t>2009</w:t>
      </w:r>
      <w:r w:rsidR="006333F7">
        <w:rPr>
          <w:sz w:val="26"/>
          <w:szCs w:val="26"/>
        </w:rPr>
        <w:noBreakHyphen/>
      </w:r>
      <w:r w:rsidRPr="00E951F4">
        <w:rPr>
          <w:sz w:val="26"/>
          <w:szCs w:val="26"/>
        </w:rPr>
        <w:t xml:space="preserve">2110798 and P-2009-2110780 (Order entered February 26, 2010).  </w:t>
      </w:r>
    </w:p>
    <w:p w14:paraId="5F6A6C1C" w14:textId="77777777" w:rsidR="009228B6" w:rsidRPr="00E951F4" w:rsidRDefault="009228B6" w:rsidP="00E951F4">
      <w:pPr>
        <w:widowControl/>
        <w:spacing w:line="360" w:lineRule="auto"/>
        <w:rPr>
          <w:sz w:val="26"/>
          <w:szCs w:val="26"/>
        </w:rPr>
      </w:pPr>
    </w:p>
    <w:p w14:paraId="44941132" w14:textId="55E62CC3" w:rsidR="00315708" w:rsidRPr="00E951F4" w:rsidRDefault="00315708" w:rsidP="00E951F4">
      <w:pPr>
        <w:pStyle w:val="ListParagraph"/>
        <w:keepNext/>
        <w:numPr>
          <w:ilvl w:val="0"/>
          <w:numId w:val="49"/>
        </w:numPr>
        <w:spacing w:line="360" w:lineRule="auto"/>
        <w:ind w:hanging="720"/>
        <w:rPr>
          <w:b/>
          <w:bCs/>
          <w:sz w:val="26"/>
          <w:szCs w:val="26"/>
        </w:rPr>
      </w:pPr>
      <w:bookmarkStart w:id="12" w:name="_Toc56512753"/>
      <w:r w:rsidRPr="00E951F4">
        <w:rPr>
          <w:b/>
          <w:bCs/>
          <w:sz w:val="26"/>
          <w:szCs w:val="26"/>
        </w:rPr>
        <w:t>Standards Applicable to Default Service</w:t>
      </w:r>
      <w:bookmarkEnd w:id="12"/>
    </w:p>
    <w:p w14:paraId="73C544A8" w14:textId="76383CE7" w:rsidR="00C47B6F" w:rsidRPr="00E951F4" w:rsidRDefault="00C47B6F" w:rsidP="00E951F4">
      <w:pPr>
        <w:keepNext/>
        <w:widowControl/>
        <w:spacing w:line="360" w:lineRule="auto"/>
        <w:rPr>
          <w:sz w:val="26"/>
          <w:szCs w:val="26"/>
        </w:rPr>
      </w:pPr>
    </w:p>
    <w:p w14:paraId="025F1851" w14:textId="4664915A" w:rsidR="006B0655" w:rsidRPr="00E951F4" w:rsidRDefault="006B0655" w:rsidP="00E951F4">
      <w:pPr>
        <w:keepNext/>
        <w:widowControl/>
        <w:spacing w:line="360" w:lineRule="auto"/>
        <w:ind w:firstLine="1440"/>
        <w:rPr>
          <w:sz w:val="26"/>
          <w:szCs w:val="26"/>
        </w:rPr>
      </w:pPr>
      <w:r w:rsidRPr="00E951F4">
        <w:rPr>
          <w:sz w:val="26"/>
          <w:szCs w:val="26"/>
        </w:rPr>
        <w:t>The requirements for a Default Service plan appear in the Electricity Generation Customer Choice and Competition Act (Competition Act) or Section 2807 of the Code.  66 Pa. C.S. § 2807.  These requirements include</w:t>
      </w:r>
      <w:r w:rsidR="00C05CA8" w:rsidRPr="00E951F4">
        <w:rPr>
          <w:sz w:val="26"/>
          <w:szCs w:val="26"/>
        </w:rPr>
        <w:t>:</w:t>
      </w:r>
      <w:r w:rsidRPr="00E951F4">
        <w:rPr>
          <w:sz w:val="26"/>
          <w:szCs w:val="26"/>
        </w:rPr>
        <w:t xml:space="preserve"> </w:t>
      </w:r>
      <w:r w:rsidR="002D0B4A" w:rsidRPr="00E951F4">
        <w:rPr>
          <w:sz w:val="26"/>
          <w:szCs w:val="26"/>
        </w:rPr>
        <w:t xml:space="preserve">(1) </w:t>
      </w:r>
      <w:r w:rsidRPr="00E951F4">
        <w:rPr>
          <w:sz w:val="26"/>
          <w:szCs w:val="26"/>
        </w:rPr>
        <w:t xml:space="preserve">that the Default Service provider follow a Commission-approved competitive procurement plan; </w:t>
      </w:r>
      <w:r w:rsidR="002D0B4A" w:rsidRPr="00E951F4">
        <w:rPr>
          <w:sz w:val="26"/>
          <w:szCs w:val="26"/>
        </w:rPr>
        <w:t xml:space="preserve">(2) </w:t>
      </w:r>
      <w:r w:rsidRPr="00E951F4">
        <w:rPr>
          <w:sz w:val="26"/>
          <w:szCs w:val="26"/>
        </w:rPr>
        <w:t xml:space="preserve">that the competitive procurement plan include auctions, requests for proposal, and/or bilateral agreements; </w:t>
      </w:r>
      <w:r w:rsidR="002D0B4A" w:rsidRPr="00E951F4">
        <w:rPr>
          <w:sz w:val="26"/>
          <w:szCs w:val="26"/>
        </w:rPr>
        <w:t xml:space="preserve">(3) </w:t>
      </w:r>
      <w:r w:rsidRPr="00E951F4">
        <w:rPr>
          <w:sz w:val="26"/>
          <w:szCs w:val="26"/>
        </w:rPr>
        <w:t xml:space="preserve">that the plan include a prudent mix of spot market purchases, short-term contracts, and long-term purchase contracts designed to ensure adequate and reliable service at the least cost to customers over time; and </w:t>
      </w:r>
      <w:r w:rsidR="00124E4E" w:rsidRPr="00E951F4">
        <w:rPr>
          <w:sz w:val="26"/>
          <w:szCs w:val="26"/>
        </w:rPr>
        <w:t xml:space="preserve">(4) </w:t>
      </w:r>
      <w:r w:rsidRPr="00E951F4">
        <w:rPr>
          <w:sz w:val="26"/>
          <w:szCs w:val="26"/>
        </w:rPr>
        <w:t xml:space="preserve">that the Default Service provider shall offer a time-of-use (TOU) rate program for customers who have smart meter technology.  66 Pa. C.S. §§ 2807(e)(3.1), (e)(3.2), (e)(3.4), (f)(5).  </w:t>
      </w:r>
    </w:p>
    <w:p w14:paraId="153484F0" w14:textId="77777777" w:rsidR="006B0655" w:rsidRPr="00E951F4" w:rsidRDefault="006B0655" w:rsidP="00E951F4">
      <w:pPr>
        <w:widowControl/>
        <w:spacing w:line="360" w:lineRule="auto"/>
        <w:ind w:firstLine="1440"/>
        <w:rPr>
          <w:sz w:val="26"/>
          <w:szCs w:val="26"/>
        </w:rPr>
      </w:pPr>
    </w:p>
    <w:p w14:paraId="1ADCB6CC" w14:textId="48A92DB2" w:rsidR="006B0655" w:rsidRPr="00E951F4" w:rsidRDefault="006B0655" w:rsidP="00E951F4">
      <w:pPr>
        <w:widowControl/>
        <w:spacing w:line="360" w:lineRule="auto"/>
        <w:ind w:firstLine="1440"/>
        <w:rPr>
          <w:sz w:val="26"/>
          <w:szCs w:val="26"/>
        </w:rPr>
      </w:pPr>
      <w:r w:rsidRPr="00E951F4">
        <w:rPr>
          <w:sz w:val="26"/>
          <w:szCs w:val="26"/>
        </w:rPr>
        <w:t xml:space="preserve">Also applicable are the Commission’s Default Service Regulations, 52 Pa. Code §§ 54.181-54.189, and a Policy Statement addressing Default Service plans, 52 Pa. Code §§ 69.1802-69.1817.  The Commission’s Default Service Regulations require that a Default Service plan include: a rate design plan recovering all reasonable costs of </w:t>
      </w:r>
      <w:r w:rsidR="00EC4F9A" w:rsidRPr="00E951F4">
        <w:rPr>
          <w:sz w:val="26"/>
          <w:szCs w:val="26"/>
        </w:rPr>
        <w:t>d</w:t>
      </w:r>
      <w:r w:rsidRPr="00E951F4">
        <w:rPr>
          <w:sz w:val="26"/>
          <w:szCs w:val="26"/>
        </w:rPr>
        <w:t xml:space="preserve">efault </w:t>
      </w:r>
      <w:r w:rsidR="00EC4F9A" w:rsidRPr="00E951F4">
        <w:rPr>
          <w:sz w:val="26"/>
          <w:szCs w:val="26"/>
        </w:rPr>
        <w:t>s</w:t>
      </w:r>
      <w:r w:rsidRPr="00E951F4">
        <w:rPr>
          <w:sz w:val="26"/>
          <w:szCs w:val="26"/>
        </w:rPr>
        <w:t xml:space="preserve">ervice, including a schedule of rates, rules, and conditions of default </w:t>
      </w:r>
      <w:r w:rsidRPr="00E951F4">
        <w:rPr>
          <w:sz w:val="26"/>
          <w:szCs w:val="26"/>
        </w:rPr>
        <w:lastRenderedPageBreak/>
        <w:t xml:space="preserve">service in the form of proposed revisions to its tariff; contingency plans to ensure the reliable provision of default service if a wholesale generation supplier fails to meet its contractual obligations.  </w:t>
      </w:r>
      <w:r w:rsidRPr="00E951F4">
        <w:rPr>
          <w:i/>
          <w:sz w:val="26"/>
          <w:szCs w:val="26"/>
        </w:rPr>
        <w:t>See</w:t>
      </w:r>
      <w:r w:rsidRPr="00E951F4">
        <w:rPr>
          <w:sz w:val="26"/>
          <w:szCs w:val="26"/>
        </w:rPr>
        <w:t xml:space="preserve"> 52 Pa. Code §§ 54.185(e)(3),(e)(5).  Additionally, the Commission’s Regulations require that a default service plan include copies of agreements or forms to be used in the procurement of electric generation supply for Default Service customers.  </w:t>
      </w:r>
      <w:r w:rsidRPr="00E951F4">
        <w:rPr>
          <w:i/>
          <w:sz w:val="26"/>
          <w:szCs w:val="26"/>
        </w:rPr>
        <w:t>See</w:t>
      </w:r>
      <w:r w:rsidRPr="00E951F4">
        <w:rPr>
          <w:sz w:val="26"/>
          <w:szCs w:val="26"/>
        </w:rPr>
        <w:t xml:space="preserve"> 52 Pa. Code § 54.185(e)(6).  </w:t>
      </w:r>
    </w:p>
    <w:p w14:paraId="205D5ECB" w14:textId="77777777" w:rsidR="006B0655" w:rsidRPr="00E951F4" w:rsidRDefault="006B0655" w:rsidP="00E951F4">
      <w:pPr>
        <w:widowControl/>
        <w:spacing w:line="360" w:lineRule="auto"/>
        <w:ind w:firstLine="1440"/>
        <w:rPr>
          <w:sz w:val="26"/>
          <w:szCs w:val="26"/>
        </w:rPr>
      </w:pPr>
    </w:p>
    <w:p w14:paraId="390A4B71" w14:textId="77777777" w:rsidR="006B0655" w:rsidRPr="00E951F4" w:rsidRDefault="006B0655" w:rsidP="00E951F4">
      <w:pPr>
        <w:widowControl/>
        <w:spacing w:line="360" w:lineRule="auto"/>
        <w:ind w:firstLine="1440"/>
        <w:rPr>
          <w:sz w:val="26"/>
          <w:szCs w:val="26"/>
        </w:rPr>
      </w:pPr>
      <w:r w:rsidRPr="00E951F4">
        <w:rPr>
          <w:sz w:val="26"/>
          <w:szCs w:val="26"/>
        </w:rPr>
        <w:t xml:space="preserve">Additionally, the Commission’s Default Service Regulations require that a Default Service plan be consistent with the legal and technical requirements pertaining to the generation, sale and transmission of electricity of the Regional Transmission Organization (RTO) or other entity in whose control area the default service provider is providing service, and that the default service procurement plan’s period of service must align with the planning period of that RTO or other entity.  </w:t>
      </w:r>
      <w:r w:rsidRPr="00E951F4">
        <w:rPr>
          <w:i/>
          <w:sz w:val="26"/>
          <w:szCs w:val="26"/>
        </w:rPr>
        <w:t>See</w:t>
      </w:r>
      <w:r w:rsidRPr="00E951F4">
        <w:rPr>
          <w:sz w:val="26"/>
          <w:szCs w:val="26"/>
        </w:rPr>
        <w:t xml:space="preserve"> 52 Pa. Code § 54.185(e)(4).  </w:t>
      </w:r>
    </w:p>
    <w:p w14:paraId="5AFD02A5" w14:textId="77777777" w:rsidR="006B0655" w:rsidRPr="00E951F4" w:rsidRDefault="006B0655" w:rsidP="00E951F4">
      <w:pPr>
        <w:widowControl/>
        <w:spacing w:line="360" w:lineRule="auto"/>
        <w:ind w:firstLine="1440"/>
        <w:rPr>
          <w:sz w:val="26"/>
          <w:szCs w:val="26"/>
        </w:rPr>
      </w:pPr>
    </w:p>
    <w:p w14:paraId="375B508E" w14:textId="5763B5A6" w:rsidR="006B0655" w:rsidRPr="00E951F4" w:rsidRDefault="006B0655" w:rsidP="00E951F4">
      <w:pPr>
        <w:widowControl/>
        <w:spacing w:line="360" w:lineRule="auto"/>
        <w:ind w:firstLine="1440"/>
        <w:rPr>
          <w:sz w:val="26"/>
          <w:szCs w:val="26"/>
        </w:rPr>
      </w:pPr>
      <w:r w:rsidRPr="00E951F4">
        <w:rPr>
          <w:sz w:val="26"/>
          <w:szCs w:val="26"/>
        </w:rPr>
        <w:t xml:space="preserve">The Commission’s Regulations further require EDCs to obtain Alternative Energy Credits (AECs) in an amount equal to certain percentages of electric energy sold to retail customers in this Commonwealth in compliance with the Alternative Energy Portfolio Standards Act (AEPS Act), 73 P.S. §§ 1648.1 – 1648.8.  </w:t>
      </w:r>
      <w:r w:rsidRPr="00E951F4">
        <w:rPr>
          <w:i/>
          <w:sz w:val="26"/>
          <w:szCs w:val="26"/>
        </w:rPr>
        <w:t>See</w:t>
      </w:r>
      <w:r w:rsidRPr="00E951F4">
        <w:rPr>
          <w:sz w:val="26"/>
          <w:szCs w:val="26"/>
        </w:rPr>
        <w:t xml:space="preserve"> 52 Pa. Code </w:t>
      </w:r>
      <w:r w:rsidR="006333F7" w:rsidRPr="00E951F4">
        <w:rPr>
          <w:sz w:val="26"/>
          <w:szCs w:val="26"/>
        </w:rPr>
        <w:t>§</w:t>
      </w:r>
      <w:r w:rsidR="006333F7">
        <w:rPr>
          <w:sz w:val="26"/>
          <w:szCs w:val="26"/>
        </w:rPr>
        <w:t> </w:t>
      </w:r>
      <w:r w:rsidRPr="00E951F4">
        <w:rPr>
          <w:sz w:val="26"/>
          <w:szCs w:val="26"/>
        </w:rPr>
        <w:t xml:space="preserve">54.182.  </w:t>
      </w:r>
    </w:p>
    <w:p w14:paraId="452E1E8B" w14:textId="77777777" w:rsidR="006B0655" w:rsidRPr="00E951F4" w:rsidRDefault="006B0655" w:rsidP="00E951F4">
      <w:pPr>
        <w:widowControl/>
        <w:spacing w:line="360" w:lineRule="auto"/>
        <w:ind w:firstLine="1440"/>
        <w:rPr>
          <w:sz w:val="26"/>
          <w:szCs w:val="26"/>
        </w:rPr>
      </w:pPr>
    </w:p>
    <w:p w14:paraId="155694DD" w14:textId="77777777" w:rsidR="006B0655" w:rsidRPr="00E951F4" w:rsidRDefault="006B0655" w:rsidP="00E951F4">
      <w:pPr>
        <w:widowControl/>
        <w:spacing w:line="360" w:lineRule="auto"/>
        <w:ind w:firstLine="1440"/>
        <w:rPr>
          <w:sz w:val="26"/>
          <w:szCs w:val="26"/>
        </w:rPr>
      </w:pPr>
      <w:r w:rsidRPr="00E951F4">
        <w:rPr>
          <w:sz w:val="26"/>
          <w:szCs w:val="26"/>
        </w:rPr>
        <w:t xml:space="preserve">Section 69.1807(8) of the Commission’s Default Service and Electric Retail Markets Statement of Policy provides that the competitive bid solicitation process used in a Default Service program should be monitored by an independent evaluator to achieve a fair and transparent process for each solicitation.  52 Pa. Code § 69.1807(8).  The Default Service and Electric Retail Markets Statement of Policy also states that the independent evaluator should have expertise in the analysis of wholesale energy markets, including methods of energy procurement.  </w:t>
      </w:r>
      <w:r w:rsidRPr="00E951F4">
        <w:rPr>
          <w:i/>
          <w:sz w:val="26"/>
          <w:szCs w:val="26"/>
        </w:rPr>
        <w:t>Id</w:t>
      </w:r>
      <w:r w:rsidRPr="00E951F4">
        <w:rPr>
          <w:sz w:val="26"/>
          <w:szCs w:val="26"/>
        </w:rPr>
        <w:t xml:space="preserve">.  </w:t>
      </w:r>
    </w:p>
    <w:p w14:paraId="35999802" w14:textId="77777777" w:rsidR="006B0655" w:rsidRPr="00E951F4" w:rsidRDefault="006B0655" w:rsidP="00E951F4">
      <w:pPr>
        <w:widowControl/>
        <w:spacing w:line="360" w:lineRule="auto"/>
        <w:ind w:firstLine="1440"/>
        <w:rPr>
          <w:sz w:val="26"/>
          <w:szCs w:val="26"/>
        </w:rPr>
      </w:pPr>
    </w:p>
    <w:p w14:paraId="606967A1" w14:textId="12E2E4F5" w:rsidR="006B0655" w:rsidRPr="00E951F4" w:rsidRDefault="006B0655" w:rsidP="002B5277">
      <w:pPr>
        <w:widowControl/>
        <w:spacing w:line="360" w:lineRule="auto"/>
        <w:ind w:firstLine="1440"/>
        <w:rPr>
          <w:sz w:val="26"/>
          <w:szCs w:val="26"/>
        </w:rPr>
      </w:pPr>
      <w:r w:rsidRPr="00E951F4">
        <w:rPr>
          <w:sz w:val="26"/>
          <w:szCs w:val="26"/>
        </w:rPr>
        <w:lastRenderedPageBreak/>
        <w:t xml:space="preserve">Further, the Commission has directed EDCs to consider incorporating certain program changes into their Default Service plans in order to foster a more robust retail competitive market.  </w:t>
      </w:r>
      <w:r w:rsidRPr="00E951F4">
        <w:rPr>
          <w:i/>
          <w:sz w:val="26"/>
          <w:szCs w:val="26"/>
        </w:rPr>
        <w:t>See Proposed Policy Statement Regarding Default Service and Retail Electric Markets</w:t>
      </w:r>
      <w:r w:rsidRPr="00E951F4">
        <w:rPr>
          <w:sz w:val="26"/>
          <w:szCs w:val="26"/>
        </w:rPr>
        <w:t>, Docket No. M-2009-2140580, 2011 Pa. PUC LEXIS 65 (Final Policy Statement entered Sept. 23, 2011) (hereinafter “</w:t>
      </w:r>
      <w:r w:rsidRPr="00E951F4">
        <w:rPr>
          <w:i/>
          <w:sz w:val="26"/>
          <w:szCs w:val="26"/>
        </w:rPr>
        <w:t>DSP Policy Statement</w:t>
      </w:r>
      <w:r w:rsidRPr="00E951F4">
        <w:rPr>
          <w:sz w:val="26"/>
          <w:szCs w:val="26"/>
        </w:rPr>
        <w:t xml:space="preserve">”); </w:t>
      </w:r>
      <w:r w:rsidRPr="00E951F4">
        <w:rPr>
          <w:i/>
          <w:sz w:val="26"/>
          <w:szCs w:val="26"/>
        </w:rPr>
        <w:t>Investigation of Pennsylvania’s Retail Electricity Market: End State of Default Service</w:t>
      </w:r>
      <w:r w:rsidRPr="00E951F4">
        <w:rPr>
          <w:sz w:val="26"/>
          <w:szCs w:val="26"/>
        </w:rPr>
        <w:t>, Docket No. I-2011-2237952, 2013 Pa. PUC LEXIS 306; 303 P.U.R.</w:t>
      </w:r>
      <w:r w:rsidR="007E1594" w:rsidRPr="00E951F4">
        <w:rPr>
          <w:sz w:val="26"/>
          <w:szCs w:val="26"/>
        </w:rPr>
        <w:t xml:space="preserve"> </w:t>
      </w:r>
      <w:r w:rsidRPr="00E951F4">
        <w:rPr>
          <w:sz w:val="26"/>
          <w:szCs w:val="26"/>
        </w:rPr>
        <w:t>4th 28 (Final Order entered Feb. 15, 2013) (hereinafter “</w:t>
      </w:r>
      <w:r w:rsidRPr="00E951F4">
        <w:rPr>
          <w:i/>
          <w:sz w:val="26"/>
          <w:szCs w:val="26"/>
        </w:rPr>
        <w:t>End State Order</w:t>
      </w:r>
      <w:r w:rsidRPr="00E951F4">
        <w:rPr>
          <w:sz w:val="26"/>
          <w:szCs w:val="26"/>
        </w:rPr>
        <w:t xml:space="preserve">”).  </w:t>
      </w:r>
    </w:p>
    <w:p w14:paraId="46B982B3" w14:textId="77777777" w:rsidR="006B0655" w:rsidRPr="00E951F4" w:rsidRDefault="006B0655" w:rsidP="002B5277">
      <w:pPr>
        <w:pStyle w:val="BodyText2"/>
        <w:widowControl/>
        <w:spacing w:after="0" w:line="360" w:lineRule="auto"/>
        <w:ind w:firstLine="1440"/>
        <w:contextualSpacing/>
        <w:rPr>
          <w:sz w:val="26"/>
          <w:szCs w:val="26"/>
        </w:rPr>
      </w:pPr>
    </w:p>
    <w:p w14:paraId="16C2B35A" w14:textId="317D9336" w:rsidR="00226B80" w:rsidRPr="00E951F4" w:rsidRDefault="00226B80" w:rsidP="002B5277">
      <w:pPr>
        <w:pStyle w:val="ListParagraph"/>
        <w:keepNext/>
        <w:numPr>
          <w:ilvl w:val="0"/>
          <w:numId w:val="49"/>
        </w:numPr>
        <w:spacing w:line="360" w:lineRule="auto"/>
        <w:ind w:hanging="720"/>
        <w:rPr>
          <w:b/>
          <w:bCs/>
          <w:sz w:val="26"/>
          <w:szCs w:val="26"/>
        </w:rPr>
      </w:pPr>
      <w:bookmarkStart w:id="13" w:name="_Toc56512754"/>
      <w:r w:rsidRPr="00E951F4">
        <w:rPr>
          <w:b/>
          <w:bCs/>
          <w:sz w:val="26"/>
          <w:szCs w:val="26"/>
        </w:rPr>
        <w:t xml:space="preserve">Standards </w:t>
      </w:r>
      <w:r w:rsidR="004B5106" w:rsidRPr="00E951F4">
        <w:rPr>
          <w:b/>
          <w:bCs/>
          <w:sz w:val="26"/>
          <w:szCs w:val="26"/>
        </w:rPr>
        <w:t>Applicable</w:t>
      </w:r>
      <w:r w:rsidRPr="00E951F4">
        <w:rPr>
          <w:b/>
          <w:bCs/>
          <w:sz w:val="26"/>
          <w:szCs w:val="26"/>
        </w:rPr>
        <w:t xml:space="preserve"> to Settlements</w:t>
      </w:r>
      <w:bookmarkEnd w:id="13"/>
    </w:p>
    <w:p w14:paraId="2B43BABB" w14:textId="77777777" w:rsidR="00C47B6F" w:rsidRPr="00E951F4" w:rsidRDefault="00C47B6F" w:rsidP="002B5277">
      <w:pPr>
        <w:keepNext/>
        <w:widowControl/>
        <w:spacing w:line="360" w:lineRule="auto"/>
        <w:ind w:firstLine="720"/>
        <w:rPr>
          <w:sz w:val="26"/>
          <w:szCs w:val="26"/>
        </w:rPr>
      </w:pPr>
    </w:p>
    <w:p w14:paraId="46675179" w14:textId="3630E182" w:rsidR="00226B80" w:rsidRPr="00E951F4" w:rsidRDefault="00226B80" w:rsidP="002B5277">
      <w:pPr>
        <w:keepNext/>
        <w:widowControl/>
        <w:autoSpaceDE w:val="0"/>
        <w:autoSpaceDN w:val="0"/>
        <w:adjustRightInd w:val="0"/>
        <w:spacing w:line="360" w:lineRule="auto"/>
        <w:ind w:firstLine="1440"/>
        <w:rPr>
          <w:sz w:val="26"/>
          <w:szCs w:val="26"/>
        </w:rPr>
      </w:pPr>
      <w:r w:rsidRPr="00E951F4">
        <w:rPr>
          <w:rFonts w:eastAsia="Calibri"/>
          <w:sz w:val="26"/>
          <w:szCs w:val="26"/>
        </w:rPr>
        <w:t xml:space="preserve">This Commission has a policy of encouraging settlements.  </w:t>
      </w:r>
      <w:r w:rsidRPr="00E951F4">
        <w:rPr>
          <w:rFonts w:eastAsia="Calibri"/>
          <w:i/>
          <w:sz w:val="26"/>
          <w:szCs w:val="26"/>
        </w:rPr>
        <w:t xml:space="preserve">See </w:t>
      </w:r>
      <w:r w:rsidRPr="00E951F4">
        <w:rPr>
          <w:rFonts w:eastAsia="Calibri"/>
          <w:sz w:val="26"/>
          <w:szCs w:val="26"/>
        </w:rPr>
        <w:t>52 Pa. Code § 5.231(a);</w:t>
      </w:r>
      <w:r w:rsidRPr="00E951F4">
        <w:rPr>
          <w:rFonts w:eastAsia="Calibri"/>
          <w:i/>
          <w:sz w:val="26"/>
          <w:szCs w:val="26"/>
        </w:rPr>
        <w:t xml:space="preserve"> see also</w:t>
      </w:r>
      <w:r w:rsidRPr="00E951F4">
        <w:rPr>
          <w:rFonts w:eastAsia="Calibri"/>
          <w:sz w:val="26"/>
          <w:szCs w:val="26"/>
        </w:rPr>
        <w:t xml:space="preserve"> 52 Pa. Code §§ 69.401, </w:t>
      </w:r>
      <w:r w:rsidRPr="00E951F4">
        <w:rPr>
          <w:rFonts w:eastAsia="Calibri"/>
          <w:i/>
          <w:sz w:val="26"/>
          <w:szCs w:val="26"/>
        </w:rPr>
        <w:t>et seq</w:t>
      </w:r>
      <w:r w:rsidRPr="00E951F4">
        <w:rPr>
          <w:rFonts w:eastAsia="Calibri"/>
          <w:sz w:val="26"/>
          <w:szCs w:val="26"/>
        </w:rPr>
        <w:t>., relating to settlement guidelines for major rate cases, and our Statement of Policy relating to the Alternative Dispute Resolution Process, 52 Pa. Code § 69.391,</w:t>
      </w:r>
      <w:r w:rsidRPr="00E951F4">
        <w:rPr>
          <w:rFonts w:eastAsia="Calibri"/>
          <w:i/>
          <w:sz w:val="26"/>
          <w:szCs w:val="26"/>
        </w:rPr>
        <w:t xml:space="preserve"> et seq.</w:t>
      </w:r>
      <w:r w:rsidRPr="00E951F4">
        <w:rPr>
          <w:rFonts w:eastAsia="Calibri"/>
          <w:sz w:val="26"/>
          <w:szCs w:val="26"/>
        </w:rPr>
        <w:t xml:space="preserve">  This Commission has stated that results achieved through settlement are often preferable to those achieved at the conclusion of a fully litigated proceeding.  52 Pa. Code § 69.401.  </w:t>
      </w:r>
      <w:r w:rsidRPr="00E951F4">
        <w:rPr>
          <w:sz w:val="26"/>
          <w:szCs w:val="26"/>
        </w:rPr>
        <w:t xml:space="preserve">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w:t>
      </w:r>
      <w:r w:rsidR="00FC0A16" w:rsidRPr="00E951F4">
        <w:rPr>
          <w:sz w:val="26"/>
          <w:szCs w:val="26"/>
        </w:rPr>
        <w:t xml:space="preserve">of the </w:t>
      </w:r>
      <w:r w:rsidRPr="00E951F4">
        <w:rPr>
          <w:sz w:val="26"/>
          <w:szCs w:val="26"/>
        </w:rPr>
        <w:t xml:space="preserve">customers of the public utility involved in the case.  </w:t>
      </w:r>
    </w:p>
    <w:p w14:paraId="04AD5744" w14:textId="77777777" w:rsidR="00226B80" w:rsidRPr="00E951F4" w:rsidRDefault="00226B80" w:rsidP="00E951F4">
      <w:pPr>
        <w:widowControl/>
        <w:autoSpaceDE w:val="0"/>
        <w:autoSpaceDN w:val="0"/>
        <w:adjustRightInd w:val="0"/>
        <w:spacing w:line="360" w:lineRule="auto"/>
        <w:ind w:firstLine="1440"/>
        <w:contextualSpacing/>
        <w:rPr>
          <w:sz w:val="26"/>
          <w:szCs w:val="26"/>
        </w:rPr>
      </w:pPr>
    </w:p>
    <w:p w14:paraId="53D25823" w14:textId="5BBD73BC" w:rsidR="00226B80" w:rsidRPr="00E951F4" w:rsidRDefault="00226B80" w:rsidP="002B5277">
      <w:pPr>
        <w:widowControl/>
        <w:spacing w:line="360" w:lineRule="auto"/>
        <w:ind w:firstLine="1440"/>
        <w:contextualSpacing/>
        <w:rPr>
          <w:sz w:val="26"/>
          <w:szCs w:val="26"/>
        </w:rPr>
      </w:pPr>
      <w:r w:rsidRPr="00E951F4">
        <w:rPr>
          <w:sz w:val="26"/>
          <w:szCs w:val="26"/>
        </w:rPr>
        <w:t xml:space="preserve">Despite the policy favoring settlements, the Commission does not simply rubber stamp settlements without further inquiry.  In order to accept a settlement such as that proposed here, the Commission must determine that the proposed terms and conditions are in the public interest.  </w:t>
      </w:r>
      <w:r w:rsidRPr="00E951F4">
        <w:rPr>
          <w:i/>
          <w:sz w:val="26"/>
          <w:szCs w:val="26"/>
        </w:rPr>
        <w:t>Pa. PUC v. York Water Co.</w:t>
      </w:r>
      <w:r w:rsidRPr="00E951F4">
        <w:rPr>
          <w:sz w:val="26"/>
          <w:szCs w:val="26"/>
        </w:rPr>
        <w:t>, Docket No. R</w:t>
      </w:r>
      <w:r w:rsidRPr="00E951F4">
        <w:rPr>
          <w:sz w:val="26"/>
          <w:szCs w:val="26"/>
        </w:rPr>
        <w:noBreakHyphen/>
        <w:t xml:space="preserve">00049165 (Order entered October 4, 2004); </w:t>
      </w:r>
      <w:r w:rsidRPr="00E951F4">
        <w:rPr>
          <w:i/>
          <w:sz w:val="26"/>
          <w:szCs w:val="26"/>
        </w:rPr>
        <w:t>Pa. PUC v. C. S. Water and Sewer Assoc.</w:t>
      </w:r>
      <w:r w:rsidRPr="00E951F4">
        <w:rPr>
          <w:sz w:val="26"/>
          <w:szCs w:val="26"/>
        </w:rPr>
        <w:t xml:space="preserve">, 74 Pa. P.U.C. 767 (1991).  The Joint Petitioners have reached an accord on many of the </w:t>
      </w:r>
      <w:r w:rsidRPr="00E951F4">
        <w:rPr>
          <w:sz w:val="26"/>
          <w:szCs w:val="26"/>
        </w:rPr>
        <w:lastRenderedPageBreak/>
        <w:t xml:space="preserve">issues and claims that arose in this proceeding and submitted the Partial Settlement.  The Joint Petitioners have the burden to prove that the Partial Settlement is in the public interest. </w:t>
      </w:r>
    </w:p>
    <w:p w14:paraId="30CEEB30" w14:textId="37BC88B4" w:rsidR="00640EAC" w:rsidRPr="00E951F4" w:rsidRDefault="00640EAC" w:rsidP="002B5277">
      <w:pPr>
        <w:widowControl/>
        <w:spacing w:line="360" w:lineRule="auto"/>
        <w:contextualSpacing/>
        <w:rPr>
          <w:sz w:val="26"/>
          <w:szCs w:val="26"/>
          <w:highlight w:val="green"/>
        </w:rPr>
      </w:pPr>
    </w:p>
    <w:p w14:paraId="08147B02" w14:textId="11DF406C" w:rsidR="006B0655" w:rsidRPr="00E951F4" w:rsidRDefault="006B0655" w:rsidP="002B5277">
      <w:pPr>
        <w:pStyle w:val="ListParagraph"/>
        <w:keepNext/>
        <w:numPr>
          <w:ilvl w:val="0"/>
          <w:numId w:val="49"/>
        </w:numPr>
        <w:tabs>
          <w:tab w:val="left" w:pos="0"/>
        </w:tabs>
        <w:spacing w:line="360" w:lineRule="auto"/>
        <w:ind w:hanging="720"/>
        <w:contextualSpacing/>
        <w:rPr>
          <w:b/>
          <w:bCs/>
          <w:sz w:val="26"/>
          <w:szCs w:val="26"/>
        </w:rPr>
      </w:pPr>
      <w:r w:rsidRPr="00E951F4">
        <w:rPr>
          <w:b/>
          <w:bCs/>
          <w:sz w:val="26"/>
          <w:szCs w:val="26"/>
        </w:rPr>
        <w:t xml:space="preserve">General Legal Standards </w:t>
      </w:r>
    </w:p>
    <w:p w14:paraId="14BFC3A9" w14:textId="77777777" w:rsidR="006B0655" w:rsidRPr="00E951F4" w:rsidRDefault="006B0655" w:rsidP="002B5277">
      <w:pPr>
        <w:keepNext/>
        <w:widowControl/>
        <w:spacing w:line="360" w:lineRule="auto"/>
        <w:contextualSpacing/>
        <w:rPr>
          <w:sz w:val="26"/>
          <w:szCs w:val="26"/>
          <w:highlight w:val="green"/>
        </w:rPr>
      </w:pPr>
    </w:p>
    <w:p w14:paraId="1BC1EC42" w14:textId="77777777" w:rsidR="006B0655" w:rsidRPr="00E951F4" w:rsidRDefault="006B0655" w:rsidP="002B5277">
      <w:pPr>
        <w:keepNext/>
        <w:keepLines/>
        <w:widowControl/>
        <w:spacing w:line="360" w:lineRule="auto"/>
        <w:ind w:firstLine="1440"/>
        <w:contextualSpacing/>
        <w:rPr>
          <w:sz w:val="26"/>
          <w:szCs w:val="26"/>
        </w:rPr>
      </w:pPr>
      <w:r w:rsidRPr="00E951F4">
        <w:rPr>
          <w:sz w:val="26"/>
          <w:szCs w:val="26"/>
        </w:rPr>
        <w:t>In his Recommended Decision, the ALJ made forty-four Findings of Fact and reached eighteen Conclusions of Law.  R.D. at 7-15, 59-62.  The Findings of Fact and Conclusions of Law are incorporated herein by reference and are adopted without comment unless they are either expressly or by necessary implication rejected or modified by this Opinion and Order.</w:t>
      </w:r>
    </w:p>
    <w:p w14:paraId="79916CDA" w14:textId="77777777" w:rsidR="006B0655" w:rsidRPr="00E951F4" w:rsidRDefault="006B0655" w:rsidP="00E951F4">
      <w:pPr>
        <w:widowControl/>
        <w:spacing w:line="360" w:lineRule="auto"/>
        <w:ind w:firstLine="1440"/>
        <w:rPr>
          <w:rFonts w:eastAsiaTheme="minorHAnsi"/>
          <w:color w:val="000000" w:themeColor="text1"/>
          <w:sz w:val="26"/>
          <w:szCs w:val="26"/>
        </w:rPr>
      </w:pPr>
    </w:p>
    <w:p w14:paraId="5B09CEF8" w14:textId="53563357" w:rsidR="006B0655" w:rsidRPr="00E951F4" w:rsidRDefault="006B0655" w:rsidP="002B5277">
      <w:pPr>
        <w:widowControl/>
        <w:spacing w:line="360" w:lineRule="auto"/>
        <w:ind w:firstLine="1440"/>
        <w:rPr>
          <w:color w:val="000000" w:themeColor="text1"/>
          <w:sz w:val="26"/>
          <w:szCs w:val="26"/>
        </w:rPr>
      </w:pPr>
      <w:r w:rsidRPr="00E951F4">
        <w:rPr>
          <w:rFonts w:eastAsiaTheme="minorHAnsi"/>
          <w:color w:val="000000" w:themeColor="text1"/>
          <w:sz w:val="26"/>
          <w:szCs w:val="26"/>
        </w:rPr>
        <w:t xml:space="preserve">In reviewing the Exceptions in this proceeding, we note that any argument or Exception that we do not specifically address </w:t>
      </w:r>
      <w:r w:rsidRPr="00E951F4">
        <w:rPr>
          <w:color w:val="000000" w:themeColor="text1"/>
          <w:sz w:val="26"/>
          <w:szCs w:val="26"/>
        </w:rPr>
        <w:t xml:space="preserve">shall be deemed to have been duly considered and denied without further discussion.  The Commission is not required to consider expressly or at length each contention or argument raised by the parties.  </w:t>
      </w:r>
      <w:r w:rsidRPr="00E951F4">
        <w:rPr>
          <w:i/>
          <w:iCs/>
          <w:color w:val="000000" w:themeColor="text1"/>
          <w:sz w:val="26"/>
          <w:szCs w:val="26"/>
        </w:rPr>
        <w:t>Consolidated Rail Corp. v. Pa. PUC</w:t>
      </w:r>
      <w:r w:rsidRPr="00E951F4">
        <w:rPr>
          <w:color w:val="000000" w:themeColor="text1"/>
          <w:sz w:val="26"/>
          <w:szCs w:val="26"/>
        </w:rPr>
        <w:t xml:space="preserve">, 625 A.2d 741 (Pa. Cmwlth. 1993); </w:t>
      </w:r>
      <w:r w:rsidRPr="00E951F4">
        <w:rPr>
          <w:i/>
          <w:color w:val="000000" w:themeColor="text1"/>
          <w:sz w:val="26"/>
          <w:szCs w:val="26"/>
        </w:rPr>
        <w:t xml:space="preserve">also </w:t>
      </w:r>
      <w:r w:rsidRPr="00E951F4">
        <w:rPr>
          <w:i/>
          <w:iCs/>
          <w:color w:val="000000" w:themeColor="text1"/>
          <w:sz w:val="26"/>
          <w:szCs w:val="26"/>
        </w:rPr>
        <w:t>see generally, University of Pennsylvania v. Pa. PUC</w:t>
      </w:r>
      <w:r w:rsidRPr="00E951F4">
        <w:rPr>
          <w:color w:val="000000" w:themeColor="text1"/>
          <w:sz w:val="26"/>
          <w:szCs w:val="26"/>
        </w:rPr>
        <w:t>, 485 A.2d 1217 (Pa. Cmwlth. 1984).</w:t>
      </w:r>
    </w:p>
    <w:p w14:paraId="7EF4267B" w14:textId="77777777" w:rsidR="006B0655" w:rsidRPr="00E951F4" w:rsidRDefault="006B0655" w:rsidP="002B5277">
      <w:pPr>
        <w:widowControl/>
        <w:spacing w:line="360" w:lineRule="auto"/>
        <w:contextualSpacing/>
        <w:rPr>
          <w:sz w:val="26"/>
          <w:szCs w:val="26"/>
          <w:highlight w:val="green"/>
        </w:rPr>
      </w:pPr>
    </w:p>
    <w:p w14:paraId="535655BA" w14:textId="227899D0" w:rsidR="007C71C2" w:rsidRPr="00E951F4" w:rsidRDefault="007C71C2" w:rsidP="002B5277">
      <w:pPr>
        <w:pStyle w:val="Heading1"/>
        <w:keepNext/>
        <w:ind w:left="0" w:firstLine="0"/>
      </w:pPr>
      <w:bookmarkStart w:id="14" w:name="_Toc56512755"/>
      <w:bookmarkStart w:id="15" w:name="_Toc59620120"/>
      <w:bookmarkStart w:id="16" w:name="_Toc60912016"/>
      <w:r w:rsidRPr="00E951F4">
        <w:t>The Partial Settlement</w:t>
      </w:r>
      <w:bookmarkEnd w:id="14"/>
      <w:bookmarkEnd w:id="15"/>
      <w:bookmarkEnd w:id="16"/>
    </w:p>
    <w:p w14:paraId="32239F35" w14:textId="77777777" w:rsidR="007C71C2" w:rsidRPr="00E951F4" w:rsidRDefault="007C71C2" w:rsidP="002B5277">
      <w:pPr>
        <w:keepNext/>
        <w:keepLines/>
        <w:widowControl/>
        <w:spacing w:line="360" w:lineRule="auto"/>
        <w:contextualSpacing/>
        <w:rPr>
          <w:b/>
          <w:sz w:val="26"/>
          <w:szCs w:val="26"/>
        </w:rPr>
      </w:pPr>
    </w:p>
    <w:p w14:paraId="79CB08B3" w14:textId="77777777" w:rsidR="00D940A1" w:rsidRPr="00E951F4" w:rsidRDefault="00D940A1" w:rsidP="002B5277">
      <w:pPr>
        <w:pStyle w:val="Heading2"/>
        <w:spacing w:line="360" w:lineRule="auto"/>
      </w:pPr>
      <w:bookmarkStart w:id="17" w:name="_Toc59620121"/>
      <w:bookmarkStart w:id="18" w:name="_Toc60912017"/>
      <w:bookmarkStart w:id="19" w:name="_Toc56512756"/>
      <w:r w:rsidRPr="00E951F4">
        <w:t>A.</w:t>
      </w:r>
      <w:r w:rsidRPr="00E951F4">
        <w:tab/>
        <w:t>Terms and Conditions of the Partial Settlement</w:t>
      </w:r>
      <w:bookmarkEnd w:id="17"/>
      <w:bookmarkEnd w:id="18"/>
    </w:p>
    <w:p w14:paraId="7D19AF03" w14:textId="77777777" w:rsidR="00D940A1" w:rsidRPr="00E951F4" w:rsidRDefault="00D940A1" w:rsidP="002B5277">
      <w:pPr>
        <w:keepNext/>
        <w:widowControl/>
        <w:autoSpaceDE w:val="0"/>
        <w:autoSpaceDN w:val="0"/>
        <w:spacing w:line="360" w:lineRule="auto"/>
        <w:contextualSpacing/>
        <w:rPr>
          <w:sz w:val="26"/>
          <w:szCs w:val="26"/>
        </w:rPr>
      </w:pPr>
    </w:p>
    <w:p w14:paraId="5D5C0D2F" w14:textId="59C83BAD" w:rsidR="00D940A1" w:rsidRPr="00E951F4" w:rsidRDefault="00D940A1" w:rsidP="002B5277">
      <w:pPr>
        <w:keepNext/>
        <w:widowControl/>
        <w:autoSpaceDE w:val="0"/>
        <w:autoSpaceDN w:val="0"/>
        <w:spacing w:line="360" w:lineRule="auto"/>
        <w:ind w:firstLine="1440"/>
        <w:contextualSpacing/>
        <w:rPr>
          <w:sz w:val="26"/>
          <w:szCs w:val="26"/>
        </w:rPr>
      </w:pPr>
      <w:r w:rsidRPr="00E951F4">
        <w:rPr>
          <w:sz w:val="26"/>
          <w:szCs w:val="26"/>
        </w:rPr>
        <w:t xml:space="preserve">The Joint Petitioners have agreed to the Partial Settlement, which resolves many of the issues among the </w:t>
      </w:r>
      <w:r w:rsidR="001B064F" w:rsidRPr="00E951F4">
        <w:rPr>
          <w:sz w:val="26"/>
          <w:szCs w:val="26"/>
        </w:rPr>
        <w:t>Joint Petitioners</w:t>
      </w:r>
      <w:r w:rsidRPr="00E951F4">
        <w:rPr>
          <w:sz w:val="26"/>
          <w:szCs w:val="26"/>
        </w:rPr>
        <w:t xml:space="preserve">, with the exception of </w:t>
      </w:r>
      <w:r w:rsidR="00765604" w:rsidRPr="00E951F4">
        <w:rPr>
          <w:sz w:val="26"/>
          <w:szCs w:val="26"/>
        </w:rPr>
        <w:t xml:space="preserve">the following </w:t>
      </w:r>
      <w:r w:rsidRPr="00E951F4">
        <w:rPr>
          <w:sz w:val="26"/>
          <w:szCs w:val="26"/>
        </w:rPr>
        <w:t>five issues reserved for litigation: (1) EGS Payment of Network Integration Transmission Service (NITS) charges; (2) EV-TOU Pilot Program issues; (3) Solar PPA issues; (4)</w:t>
      </w:r>
      <w:r w:rsidR="002B5277">
        <w:rPr>
          <w:sz w:val="26"/>
          <w:szCs w:val="26"/>
        </w:rPr>
        <w:t> </w:t>
      </w:r>
      <w:r w:rsidRPr="00E951F4">
        <w:rPr>
          <w:sz w:val="26"/>
          <w:szCs w:val="26"/>
        </w:rPr>
        <w:t xml:space="preserve">SOP issues; and (5) CAP shopping issues.  Partial Settlement ¶ 36, at 10.  </w:t>
      </w:r>
    </w:p>
    <w:p w14:paraId="2F72B119" w14:textId="77777777" w:rsidR="00D940A1" w:rsidRPr="00E951F4" w:rsidRDefault="00D940A1" w:rsidP="00E951F4">
      <w:pPr>
        <w:widowControl/>
        <w:autoSpaceDE w:val="0"/>
        <w:autoSpaceDN w:val="0"/>
        <w:spacing w:line="360" w:lineRule="auto"/>
        <w:ind w:firstLine="1440"/>
        <w:contextualSpacing/>
        <w:rPr>
          <w:sz w:val="26"/>
          <w:szCs w:val="26"/>
        </w:rPr>
      </w:pPr>
    </w:p>
    <w:p w14:paraId="5E00CA92" w14:textId="3DD9564D"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lastRenderedPageBreak/>
        <w:t xml:space="preserve">The Partial Settlement consists of the Joint Petition containing the terms and conditions of the Settlement, Appendix A, which is the revised Electric Service Tariff, Appendix B, which is the revised Electric Service Tariff (with redline), and Appendix C, which is the revised Default Supplier Master Agreement (with and without redline).  </w:t>
      </w:r>
      <w:r w:rsidR="006B7ED5" w:rsidRPr="00E951F4">
        <w:rPr>
          <w:sz w:val="26"/>
          <w:szCs w:val="26"/>
        </w:rPr>
        <w:t xml:space="preserve">The Joint Petitioners </w:t>
      </w:r>
      <w:r w:rsidR="00161CCA" w:rsidRPr="00E951F4">
        <w:rPr>
          <w:sz w:val="26"/>
          <w:szCs w:val="26"/>
        </w:rPr>
        <w:t xml:space="preserve">submitted </w:t>
      </w:r>
      <w:r w:rsidRPr="00E951F4">
        <w:rPr>
          <w:sz w:val="26"/>
          <w:szCs w:val="26"/>
        </w:rPr>
        <w:t xml:space="preserve">Statements in Support of the Partial </w:t>
      </w:r>
      <w:r w:rsidR="00A655BC" w:rsidRPr="00E951F4">
        <w:rPr>
          <w:sz w:val="26"/>
          <w:szCs w:val="26"/>
        </w:rPr>
        <w:t>Settlement, denoted</w:t>
      </w:r>
      <w:r w:rsidRPr="00E951F4">
        <w:rPr>
          <w:sz w:val="26"/>
          <w:szCs w:val="26"/>
        </w:rPr>
        <w:t xml:space="preserve"> as follows:</w:t>
      </w:r>
    </w:p>
    <w:p w14:paraId="5F682F9C" w14:textId="77777777" w:rsidR="00D940A1" w:rsidRPr="00E951F4" w:rsidRDefault="00D940A1" w:rsidP="002B5277">
      <w:pPr>
        <w:widowControl/>
        <w:autoSpaceDE w:val="0"/>
        <w:autoSpaceDN w:val="0"/>
        <w:ind w:left="1440"/>
        <w:contextualSpacing/>
        <w:rPr>
          <w:sz w:val="26"/>
          <w:szCs w:val="26"/>
        </w:rPr>
      </w:pPr>
    </w:p>
    <w:tbl>
      <w:tblPr>
        <w:tblStyle w:val="PlainTable1"/>
        <w:tblW w:w="0" w:type="auto"/>
        <w:tblLook w:val="04A0" w:firstRow="1" w:lastRow="0" w:firstColumn="1" w:lastColumn="0" w:noHBand="0" w:noVBand="1"/>
      </w:tblPr>
      <w:tblGrid>
        <w:gridCol w:w="4585"/>
        <w:gridCol w:w="4765"/>
      </w:tblGrid>
      <w:tr w:rsidR="00D940A1" w:rsidRPr="00E951F4" w14:paraId="1BBEE6B0" w14:textId="77777777" w:rsidTr="002B52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5" w:type="dxa"/>
          </w:tcPr>
          <w:p w14:paraId="3AF75514" w14:textId="77777777" w:rsidR="00D940A1" w:rsidRPr="00E951F4" w:rsidRDefault="00D940A1" w:rsidP="00E951F4">
            <w:pPr>
              <w:keepNext/>
              <w:keepLines/>
              <w:widowControl/>
              <w:autoSpaceDE w:val="0"/>
              <w:autoSpaceDN w:val="0"/>
              <w:contextualSpacing/>
              <w:rPr>
                <w:sz w:val="26"/>
                <w:szCs w:val="26"/>
              </w:rPr>
            </w:pPr>
            <w:r w:rsidRPr="00E951F4">
              <w:rPr>
                <w:sz w:val="26"/>
                <w:szCs w:val="26"/>
              </w:rPr>
              <w:t>Statement in Support of Joint Petition for Partial Settlement</w:t>
            </w:r>
          </w:p>
        </w:tc>
        <w:tc>
          <w:tcPr>
            <w:tcW w:w="4765" w:type="dxa"/>
          </w:tcPr>
          <w:p w14:paraId="3D87BF33" w14:textId="77777777" w:rsidR="00D940A1" w:rsidRPr="00E951F4" w:rsidRDefault="00D940A1" w:rsidP="00E951F4">
            <w:pPr>
              <w:keepNext/>
              <w:keepLines/>
              <w:widowControl/>
              <w:autoSpaceDE w:val="0"/>
              <w:autoSpaceDN w:val="0"/>
              <w:spacing w:line="360"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E951F4">
              <w:rPr>
                <w:sz w:val="26"/>
                <w:szCs w:val="26"/>
              </w:rPr>
              <w:t>Joint Petitioner</w:t>
            </w:r>
          </w:p>
        </w:tc>
      </w:tr>
      <w:tr w:rsidR="00D940A1" w:rsidRPr="00E951F4" w14:paraId="139D50D6" w14:textId="77777777" w:rsidTr="002B5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05A4BBA4" w14:textId="77777777" w:rsidR="00D940A1" w:rsidRPr="00E951F4" w:rsidRDefault="00D940A1" w:rsidP="00586B02">
            <w:pPr>
              <w:keepNext/>
              <w:keepLines/>
              <w:widowControl/>
              <w:autoSpaceDE w:val="0"/>
              <w:autoSpaceDN w:val="0"/>
              <w:spacing w:before="60" w:after="60"/>
              <w:rPr>
                <w:sz w:val="26"/>
                <w:szCs w:val="26"/>
              </w:rPr>
            </w:pPr>
            <w:r w:rsidRPr="00E951F4">
              <w:rPr>
                <w:sz w:val="26"/>
                <w:szCs w:val="26"/>
              </w:rPr>
              <w:t>Appendix D</w:t>
            </w:r>
          </w:p>
        </w:tc>
        <w:tc>
          <w:tcPr>
            <w:tcW w:w="4765" w:type="dxa"/>
          </w:tcPr>
          <w:p w14:paraId="1BBF43EB" w14:textId="77777777" w:rsidR="00D940A1" w:rsidRPr="00E951F4" w:rsidRDefault="00D940A1" w:rsidP="00586B02">
            <w:pPr>
              <w:keepNext/>
              <w:keepLines/>
              <w:widowControl/>
              <w:autoSpaceDE w:val="0"/>
              <w:autoSpaceDN w:val="0"/>
              <w:spacing w:before="60" w:after="60"/>
              <w:cnfStyle w:val="000000100000" w:firstRow="0" w:lastRow="0" w:firstColumn="0" w:lastColumn="0" w:oddVBand="0" w:evenVBand="0" w:oddHBand="1" w:evenHBand="0" w:firstRowFirstColumn="0" w:firstRowLastColumn="0" w:lastRowFirstColumn="0" w:lastRowLastColumn="0"/>
              <w:rPr>
                <w:sz w:val="26"/>
                <w:szCs w:val="26"/>
              </w:rPr>
            </w:pPr>
            <w:r w:rsidRPr="00E951F4">
              <w:rPr>
                <w:sz w:val="26"/>
                <w:szCs w:val="26"/>
              </w:rPr>
              <w:t>Duquesne Light Company</w:t>
            </w:r>
          </w:p>
        </w:tc>
      </w:tr>
      <w:tr w:rsidR="00D940A1" w:rsidRPr="00E951F4" w14:paraId="192AB565" w14:textId="77777777" w:rsidTr="002B5277">
        <w:tc>
          <w:tcPr>
            <w:cnfStyle w:val="001000000000" w:firstRow="0" w:lastRow="0" w:firstColumn="1" w:lastColumn="0" w:oddVBand="0" w:evenVBand="0" w:oddHBand="0" w:evenHBand="0" w:firstRowFirstColumn="0" w:firstRowLastColumn="0" w:lastRowFirstColumn="0" w:lastRowLastColumn="0"/>
            <w:tcW w:w="4585" w:type="dxa"/>
          </w:tcPr>
          <w:p w14:paraId="1532D9A4" w14:textId="77777777" w:rsidR="00D940A1" w:rsidRPr="00E951F4" w:rsidRDefault="00D940A1" w:rsidP="00586B02">
            <w:pPr>
              <w:keepNext/>
              <w:keepLines/>
              <w:widowControl/>
              <w:autoSpaceDE w:val="0"/>
              <w:autoSpaceDN w:val="0"/>
              <w:spacing w:before="60" w:after="60"/>
              <w:rPr>
                <w:sz w:val="26"/>
                <w:szCs w:val="26"/>
              </w:rPr>
            </w:pPr>
            <w:r w:rsidRPr="00E951F4">
              <w:rPr>
                <w:sz w:val="26"/>
                <w:szCs w:val="26"/>
              </w:rPr>
              <w:t>Appendix E</w:t>
            </w:r>
          </w:p>
        </w:tc>
        <w:tc>
          <w:tcPr>
            <w:tcW w:w="4765" w:type="dxa"/>
          </w:tcPr>
          <w:p w14:paraId="5AD42F62" w14:textId="77777777" w:rsidR="00D940A1" w:rsidRPr="00E951F4" w:rsidRDefault="00D940A1" w:rsidP="00586B02">
            <w:pPr>
              <w:keepNext/>
              <w:keepLines/>
              <w:widowControl/>
              <w:autoSpaceDE w:val="0"/>
              <w:autoSpaceDN w:val="0"/>
              <w:spacing w:before="60" w:after="60"/>
              <w:cnfStyle w:val="000000000000" w:firstRow="0" w:lastRow="0" w:firstColumn="0" w:lastColumn="0" w:oddVBand="0" w:evenVBand="0" w:oddHBand="0" w:evenHBand="0" w:firstRowFirstColumn="0" w:firstRowLastColumn="0" w:lastRowFirstColumn="0" w:lastRowLastColumn="0"/>
              <w:rPr>
                <w:sz w:val="26"/>
                <w:szCs w:val="26"/>
              </w:rPr>
            </w:pPr>
            <w:r w:rsidRPr="00E951F4">
              <w:rPr>
                <w:sz w:val="26"/>
                <w:szCs w:val="26"/>
              </w:rPr>
              <w:t>Office of Consumer Advocate</w:t>
            </w:r>
          </w:p>
        </w:tc>
      </w:tr>
      <w:tr w:rsidR="00D940A1" w:rsidRPr="00E951F4" w14:paraId="25A1E555" w14:textId="77777777" w:rsidTr="002B5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167DA1A9" w14:textId="77777777" w:rsidR="00D940A1" w:rsidRPr="00E951F4" w:rsidRDefault="00D940A1" w:rsidP="00586B02">
            <w:pPr>
              <w:keepNext/>
              <w:keepLines/>
              <w:widowControl/>
              <w:autoSpaceDE w:val="0"/>
              <w:autoSpaceDN w:val="0"/>
              <w:spacing w:before="60" w:after="60"/>
              <w:rPr>
                <w:sz w:val="26"/>
                <w:szCs w:val="26"/>
              </w:rPr>
            </w:pPr>
            <w:r w:rsidRPr="00E951F4">
              <w:rPr>
                <w:sz w:val="26"/>
                <w:szCs w:val="26"/>
              </w:rPr>
              <w:t>Appendix F</w:t>
            </w:r>
          </w:p>
        </w:tc>
        <w:tc>
          <w:tcPr>
            <w:tcW w:w="4765" w:type="dxa"/>
          </w:tcPr>
          <w:p w14:paraId="6CAF8C2F" w14:textId="77777777" w:rsidR="00D940A1" w:rsidRPr="00E951F4" w:rsidRDefault="00D940A1" w:rsidP="00586B02">
            <w:pPr>
              <w:keepNext/>
              <w:keepLines/>
              <w:widowControl/>
              <w:autoSpaceDE w:val="0"/>
              <w:autoSpaceDN w:val="0"/>
              <w:spacing w:before="60" w:after="60"/>
              <w:cnfStyle w:val="000000100000" w:firstRow="0" w:lastRow="0" w:firstColumn="0" w:lastColumn="0" w:oddVBand="0" w:evenVBand="0" w:oddHBand="1" w:evenHBand="0" w:firstRowFirstColumn="0" w:firstRowLastColumn="0" w:lastRowFirstColumn="0" w:lastRowLastColumn="0"/>
              <w:rPr>
                <w:sz w:val="26"/>
                <w:szCs w:val="26"/>
              </w:rPr>
            </w:pPr>
            <w:r w:rsidRPr="00E951F4">
              <w:rPr>
                <w:sz w:val="26"/>
                <w:szCs w:val="26"/>
              </w:rPr>
              <w:t>Office of Small Business Advocate</w:t>
            </w:r>
          </w:p>
        </w:tc>
      </w:tr>
      <w:tr w:rsidR="00D940A1" w:rsidRPr="00E951F4" w14:paraId="1B117C9C" w14:textId="77777777" w:rsidTr="002B5277">
        <w:tc>
          <w:tcPr>
            <w:cnfStyle w:val="001000000000" w:firstRow="0" w:lastRow="0" w:firstColumn="1" w:lastColumn="0" w:oddVBand="0" w:evenVBand="0" w:oddHBand="0" w:evenHBand="0" w:firstRowFirstColumn="0" w:firstRowLastColumn="0" w:lastRowFirstColumn="0" w:lastRowLastColumn="0"/>
            <w:tcW w:w="4585" w:type="dxa"/>
          </w:tcPr>
          <w:p w14:paraId="4EE7A3E7" w14:textId="77777777" w:rsidR="00D940A1" w:rsidRPr="00E951F4" w:rsidRDefault="00D940A1" w:rsidP="00586B02">
            <w:pPr>
              <w:keepNext/>
              <w:keepLines/>
              <w:widowControl/>
              <w:autoSpaceDE w:val="0"/>
              <w:autoSpaceDN w:val="0"/>
              <w:spacing w:before="60" w:after="60"/>
              <w:rPr>
                <w:sz w:val="26"/>
                <w:szCs w:val="26"/>
              </w:rPr>
            </w:pPr>
            <w:r w:rsidRPr="00E951F4">
              <w:rPr>
                <w:sz w:val="26"/>
                <w:szCs w:val="26"/>
              </w:rPr>
              <w:t>Appendix G</w:t>
            </w:r>
          </w:p>
        </w:tc>
        <w:tc>
          <w:tcPr>
            <w:tcW w:w="4765" w:type="dxa"/>
          </w:tcPr>
          <w:p w14:paraId="2787AD56" w14:textId="77777777" w:rsidR="00D940A1" w:rsidRPr="00E951F4" w:rsidRDefault="00D940A1" w:rsidP="00586B02">
            <w:pPr>
              <w:keepNext/>
              <w:keepLines/>
              <w:widowControl/>
              <w:autoSpaceDE w:val="0"/>
              <w:autoSpaceDN w:val="0"/>
              <w:spacing w:before="60" w:after="60"/>
              <w:cnfStyle w:val="000000000000" w:firstRow="0" w:lastRow="0" w:firstColumn="0" w:lastColumn="0" w:oddVBand="0" w:evenVBand="0" w:oddHBand="0" w:evenHBand="0" w:firstRowFirstColumn="0" w:firstRowLastColumn="0" w:lastRowFirstColumn="0" w:lastRowLastColumn="0"/>
              <w:rPr>
                <w:sz w:val="26"/>
                <w:szCs w:val="26"/>
              </w:rPr>
            </w:pPr>
            <w:r w:rsidRPr="00E951F4">
              <w:rPr>
                <w:sz w:val="26"/>
                <w:szCs w:val="26"/>
              </w:rPr>
              <w:t>Coalition for Affordable Utility Services and Energy Efficiency in Pennsylvania</w:t>
            </w:r>
          </w:p>
        </w:tc>
      </w:tr>
      <w:tr w:rsidR="00D940A1" w:rsidRPr="00E951F4" w14:paraId="68BA0D11" w14:textId="77777777" w:rsidTr="002B5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08E62146" w14:textId="77777777" w:rsidR="00D940A1" w:rsidRPr="00E951F4" w:rsidRDefault="00D940A1" w:rsidP="00586B02">
            <w:pPr>
              <w:keepNext/>
              <w:keepLines/>
              <w:widowControl/>
              <w:autoSpaceDE w:val="0"/>
              <w:autoSpaceDN w:val="0"/>
              <w:spacing w:before="60" w:after="60"/>
              <w:rPr>
                <w:sz w:val="26"/>
                <w:szCs w:val="26"/>
              </w:rPr>
            </w:pPr>
            <w:r w:rsidRPr="00E951F4">
              <w:rPr>
                <w:sz w:val="26"/>
                <w:szCs w:val="26"/>
              </w:rPr>
              <w:t>Appendix H</w:t>
            </w:r>
          </w:p>
        </w:tc>
        <w:tc>
          <w:tcPr>
            <w:tcW w:w="4765" w:type="dxa"/>
          </w:tcPr>
          <w:p w14:paraId="7F974188" w14:textId="77777777" w:rsidR="00D940A1" w:rsidRPr="00E951F4" w:rsidRDefault="00D940A1" w:rsidP="00586B02">
            <w:pPr>
              <w:keepNext/>
              <w:keepLines/>
              <w:widowControl/>
              <w:autoSpaceDE w:val="0"/>
              <w:autoSpaceDN w:val="0"/>
              <w:spacing w:before="60" w:after="60"/>
              <w:cnfStyle w:val="000000100000" w:firstRow="0" w:lastRow="0" w:firstColumn="0" w:lastColumn="0" w:oddVBand="0" w:evenVBand="0" w:oddHBand="1" w:evenHBand="0" w:firstRowFirstColumn="0" w:firstRowLastColumn="0" w:lastRowFirstColumn="0" w:lastRowLastColumn="0"/>
              <w:rPr>
                <w:sz w:val="26"/>
                <w:szCs w:val="26"/>
              </w:rPr>
            </w:pPr>
            <w:r w:rsidRPr="00E951F4">
              <w:rPr>
                <w:sz w:val="26"/>
                <w:szCs w:val="26"/>
              </w:rPr>
              <w:t>Natural Resources Defense Council</w:t>
            </w:r>
          </w:p>
        </w:tc>
      </w:tr>
    </w:tbl>
    <w:p w14:paraId="44943F62" w14:textId="77777777" w:rsidR="00D940A1" w:rsidRPr="00E951F4" w:rsidRDefault="00D940A1" w:rsidP="00586B02">
      <w:pPr>
        <w:widowControl/>
        <w:autoSpaceDE w:val="0"/>
        <w:autoSpaceDN w:val="0"/>
        <w:spacing w:line="480" w:lineRule="auto"/>
        <w:ind w:firstLine="1440"/>
        <w:contextualSpacing/>
        <w:rPr>
          <w:sz w:val="26"/>
          <w:szCs w:val="26"/>
        </w:rPr>
      </w:pPr>
    </w:p>
    <w:p w14:paraId="06507643" w14:textId="7E2AFE92"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 xml:space="preserve">The essential terms of the Partial Settlement are set forth in Section III, Paragraphs 37 through 52.  </w:t>
      </w:r>
      <w:r w:rsidRPr="00E951F4">
        <w:rPr>
          <w:i/>
          <w:iCs/>
          <w:sz w:val="26"/>
          <w:szCs w:val="26"/>
        </w:rPr>
        <w:t>See</w:t>
      </w:r>
      <w:r w:rsidRPr="00E951F4">
        <w:rPr>
          <w:sz w:val="26"/>
          <w:szCs w:val="26"/>
        </w:rPr>
        <w:t xml:space="preserve"> Partial Settlement ¶¶ 37-52, at 10-15.  </w:t>
      </w:r>
      <w:r w:rsidR="00C80565" w:rsidRPr="00E951F4">
        <w:rPr>
          <w:sz w:val="26"/>
          <w:szCs w:val="26"/>
        </w:rPr>
        <w:t>T</w:t>
      </w:r>
      <w:r w:rsidRPr="00E951F4">
        <w:rPr>
          <w:sz w:val="26"/>
          <w:szCs w:val="26"/>
        </w:rPr>
        <w:t>hese essential terms and conditions are set forth below regarding each resolved issue, with the original paragraph numbers maintained, followed by a discussion of the individual terms and conditions of the Partial Settlement.</w:t>
      </w:r>
    </w:p>
    <w:p w14:paraId="57D58BC8" w14:textId="77777777" w:rsidR="00D940A1" w:rsidRPr="00E951F4" w:rsidRDefault="00D940A1" w:rsidP="00E951F4">
      <w:pPr>
        <w:widowControl/>
        <w:autoSpaceDE w:val="0"/>
        <w:autoSpaceDN w:val="0"/>
        <w:spacing w:line="360" w:lineRule="auto"/>
        <w:contextualSpacing/>
        <w:rPr>
          <w:sz w:val="26"/>
          <w:szCs w:val="26"/>
        </w:rPr>
      </w:pPr>
    </w:p>
    <w:p w14:paraId="36604E46" w14:textId="77777777" w:rsidR="00D940A1" w:rsidRPr="00E951F4" w:rsidRDefault="00D940A1" w:rsidP="00E951F4">
      <w:pPr>
        <w:pStyle w:val="Heading3"/>
      </w:pPr>
      <w:bookmarkStart w:id="20" w:name="_Toc59620122"/>
      <w:bookmarkStart w:id="21" w:name="_Toc60912018"/>
      <w:r w:rsidRPr="00E951F4">
        <w:t>Program Term</w:t>
      </w:r>
      <w:bookmarkEnd w:id="20"/>
      <w:bookmarkEnd w:id="21"/>
    </w:p>
    <w:p w14:paraId="27A7AC5F" w14:textId="77777777" w:rsidR="00D940A1" w:rsidRPr="00E951F4" w:rsidRDefault="00D940A1" w:rsidP="00E951F4">
      <w:pPr>
        <w:keepNext/>
        <w:keepLines/>
        <w:widowControl/>
        <w:autoSpaceDE w:val="0"/>
        <w:autoSpaceDN w:val="0"/>
        <w:spacing w:line="360" w:lineRule="auto"/>
        <w:contextualSpacing/>
        <w:rPr>
          <w:b/>
          <w:bCs/>
          <w:sz w:val="26"/>
          <w:szCs w:val="26"/>
        </w:rPr>
      </w:pPr>
    </w:p>
    <w:p w14:paraId="668C834A" w14:textId="77777777" w:rsidR="00D940A1" w:rsidRPr="00E951F4" w:rsidRDefault="00D940A1" w:rsidP="00E951F4">
      <w:pPr>
        <w:keepNext/>
        <w:keepLines/>
        <w:widowControl/>
        <w:autoSpaceDE w:val="0"/>
        <w:autoSpaceDN w:val="0"/>
        <w:spacing w:line="360" w:lineRule="auto"/>
        <w:ind w:firstLine="1440"/>
        <w:rPr>
          <w:sz w:val="26"/>
          <w:szCs w:val="26"/>
        </w:rPr>
      </w:pPr>
      <w:bookmarkStart w:id="22" w:name="_Hlk58422959"/>
      <w:r w:rsidRPr="00E951F4">
        <w:rPr>
          <w:sz w:val="26"/>
          <w:szCs w:val="26"/>
        </w:rPr>
        <w:t xml:space="preserve">The terms and conditions of the DSP IX “Program Term” Section B. of the Partial Settlement are set forth verbatim below, with the original paragraph numbers maintained: </w:t>
      </w:r>
    </w:p>
    <w:p w14:paraId="3795925D" w14:textId="77777777" w:rsidR="00D940A1" w:rsidRPr="00E951F4" w:rsidRDefault="00D940A1" w:rsidP="00E951F4">
      <w:pPr>
        <w:widowControl/>
        <w:ind w:right="1440"/>
        <w:rPr>
          <w:sz w:val="26"/>
          <w:szCs w:val="26"/>
        </w:rPr>
      </w:pPr>
    </w:p>
    <w:p w14:paraId="001CC385" w14:textId="037DB888" w:rsidR="00D940A1" w:rsidRPr="00E951F4" w:rsidRDefault="00D940A1" w:rsidP="00E951F4">
      <w:pPr>
        <w:keepNext/>
        <w:widowControl/>
        <w:ind w:left="1440" w:right="1440"/>
        <w:rPr>
          <w:sz w:val="26"/>
          <w:szCs w:val="26"/>
        </w:rPr>
      </w:pPr>
      <w:r w:rsidRPr="00E951F4">
        <w:rPr>
          <w:sz w:val="26"/>
          <w:szCs w:val="26"/>
        </w:rPr>
        <w:lastRenderedPageBreak/>
        <w:t>37.</w:t>
      </w:r>
      <w:r w:rsidRPr="00E951F4">
        <w:rPr>
          <w:sz w:val="26"/>
          <w:szCs w:val="26"/>
        </w:rPr>
        <w:tab/>
        <w:t>The Program Term for Duquesne Light</w:t>
      </w:r>
      <w:r w:rsidR="00843269" w:rsidRPr="00E951F4">
        <w:rPr>
          <w:sz w:val="26"/>
          <w:szCs w:val="26"/>
        </w:rPr>
        <w:t>’</w:t>
      </w:r>
      <w:r w:rsidRPr="00E951F4">
        <w:rPr>
          <w:sz w:val="26"/>
          <w:szCs w:val="26"/>
        </w:rPr>
        <w:t>s DSP IX shall be for a four-year period commencing on June 1, 2021, and ending on May 31, 2025.</w:t>
      </w:r>
    </w:p>
    <w:p w14:paraId="6A856E9A" w14:textId="77777777" w:rsidR="00D940A1" w:rsidRPr="00E951F4" w:rsidRDefault="00D940A1" w:rsidP="00586B02">
      <w:pPr>
        <w:keepNext/>
        <w:widowControl/>
        <w:spacing w:line="360" w:lineRule="auto"/>
        <w:ind w:left="1440" w:right="1440"/>
        <w:rPr>
          <w:rFonts w:eastAsiaTheme="majorEastAsia"/>
          <w:sz w:val="26"/>
          <w:szCs w:val="26"/>
        </w:rPr>
      </w:pPr>
    </w:p>
    <w:p w14:paraId="1BF0E703" w14:textId="4C9A80BB" w:rsidR="00D940A1" w:rsidRPr="00E951F4" w:rsidRDefault="00D940A1" w:rsidP="00E951F4">
      <w:pPr>
        <w:keepNext/>
        <w:widowControl/>
        <w:autoSpaceDE w:val="0"/>
        <w:autoSpaceDN w:val="0"/>
        <w:spacing w:line="360" w:lineRule="auto"/>
        <w:rPr>
          <w:sz w:val="26"/>
          <w:szCs w:val="26"/>
        </w:rPr>
      </w:pPr>
      <w:r w:rsidRPr="00E951F4">
        <w:rPr>
          <w:sz w:val="26"/>
          <w:szCs w:val="26"/>
        </w:rPr>
        <w:t xml:space="preserve">Partial Settlement ¶ 37, at 10.  </w:t>
      </w:r>
    </w:p>
    <w:bookmarkEnd w:id="22"/>
    <w:p w14:paraId="03DB1085" w14:textId="77777777" w:rsidR="00D940A1" w:rsidRPr="00E951F4" w:rsidRDefault="00D940A1" w:rsidP="00E951F4">
      <w:pPr>
        <w:widowControl/>
        <w:autoSpaceDE w:val="0"/>
        <w:autoSpaceDN w:val="0"/>
        <w:spacing w:line="360" w:lineRule="auto"/>
        <w:contextualSpacing/>
        <w:rPr>
          <w:sz w:val="26"/>
          <w:szCs w:val="26"/>
        </w:rPr>
      </w:pPr>
    </w:p>
    <w:p w14:paraId="06157B29" w14:textId="2115C2BE"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Duquesne Light noted that it initially proposed June 1, 2021 through May</w:t>
      </w:r>
      <w:r w:rsidR="00586B02">
        <w:rPr>
          <w:sz w:val="26"/>
          <w:szCs w:val="26"/>
        </w:rPr>
        <w:t> </w:t>
      </w:r>
      <w:r w:rsidRPr="00E951F4">
        <w:rPr>
          <w:sz w:val="26"/>
          <w:szCs w:val="26"/>
        </w:rPr>
        <w:t xml:space="preserve">31, 2025 as the Program Term, explaining that a four-year term is the same length of term as its current DSP program and that the current default service programs for all of the other major </w:t>
      </w:r>
      <w:r w:rsidR="00F91D27" w:rsidRPr="00E951F4">
        <w:rPr>
          <w:sz w:val="26"/>
          <w:szCs w:val="26"/>
        </w:rPr>
        <w:t>EDCs</w:t>
      </w:r>
      <w:r w:rsidRPr="00E951F4">
        <w:rPr>
          <w:sz w:val="26"/>
          <w:szCs w:val="26"/>
        </w:rPr>
        <w:t xml:space="preserve"> are for a four-year period.  Duquesne Light further noted that, when compared to prior </w:t>
      </w:r>
      <w:r w:rsidR="00BA662C" w:rsidRPr="00E951F4">
        <w:rPr>
          <w:sz w:val="26"/>
          <w:szCs w:val="26"/>
        </w:rPr>
        <w:t>DSPs</w:t>
      </w:r>
      <w:r w:rsidRPr="00E951F4">
        <w:rPr>
          <w:sz w:val="26"/>
          <w:szCs w:val="26"/>
        </w:rPr>
        <w:t xml:space="preserve"> with two-year term periods, the four-year term conserves the cost and time of litigation for Duquesne Light, the Commission, and other parties that participate in DSP proceedings.  Duquesne Light St</w:t>
      </w:r>
      <w:r w:rsidR="00542A45" w:rsidRPr="00E951F4">
        <w:rPr>
          <w:sz w:val="26"/>
          <w:szCs w:val="26"/>
        </w:rPr>
        <w:t>atement</w:t>
      </w:r>
      <w:r w:rsidRPr="00E951F4">
        <w:rPr>
          <w:sz w:val="26"/>
          <w:szCs w:val="26"/>
        </w:rPr>
        <w:t xml:space="preserve"> in Support at 5 (citing P</w:t>
      </w:r>
      <w:r w:rsidR="00284AA6" w:rsidRPr="00E951F4">
        <w:rPr>
          <w:sz w:val="26"/>
          <w:szCs w:val="26"/>
        </w:rPr>
        <w:t>artial Settlement</w:t>
      </w:r>
      <w:r w:rsidRPr="00E951F4">
        <w:rPr>
          <w:sz w:val="26"/>
          <w:szCs w:val="26"/>
        </w:rPr>
        <w:t xml:space="preserve"> ¶¶ 5-6).  Duquesne Light added that none of the Parties contested the Program Term.  Duquesne Light St</w:t>
      </w:r>
      <w:r w:rsidR="00542A45" w:rsidRPr="00E951F4">
        <w:rPr>
          <w:sz w:val="26"/>
          <w:szCs w:val="26"/>
        </w:rPr>
        <w:t>atement</w:t>
      </w:r>
      <w:r w:rsidRPr="00E951F4">
        <w:rPr>
          <w:sz w:val="26"/>
          <w:szCs w:val="26"/>
        </w:rPr>
        <w:t xml:space="preserve"> in Support at 5.  </w:t>
      </w:r>
    </w:p>
    <w:p w14:paraId="7F3E6B0F" w14:textId="77777777" w:rsidR="00BA662C" w:rsidRPr="00E951F4" w:rsidRDefault="00BA662C" w:rsidP="00E951F4">
      <w:pPr>
        <w:widowControl/>
        <w:autoSpaceDE w:val="0"/>
        <w:autoSpaceDN w:val="0"/>
        <w:spacing w:line="360" w:lineRule="auto"/>
        <w:ind w:firstLine="1440"/>
        <w:contextualSpacing/>
        <w:rPr>
          <w:sz w:val="26"/>
          <w:szCs w:val="26"/>
        </w:rPr>
      </w:pPr>
    </w:p>
    <w:p w14:paraId="27847898" w14:textId="77777777" w:rsidR="00D940A1" w:rsidRPr="00E951F4" w:rsidRDefault="00D940A1" w:rsidP="00E951F4">
      <w:pPr>
        <w:pStyle w:val="Heading3"/>
      </w:pPr>
      <w:bookmarkStart w:id="23" w:name="_Toc59620123"/>
      <w:bookmarkStart w:id="24" w:name="_Toc60912019"/>
      <w:r w:rsidRPr="00E951F4">
        <w:t>Procurement Plans and Rates</w:t>
      </w:r>
      <w:bookmarkEnd w:id="23"/>
      <w:bookmarkEnd w:id="24"/>
    </w:p>
    <w:p w14:paraId="201335EA" w14:textId="77777777" w:rsidR="00D940A1" w:rsidRPr="00E951F4" w:rsidRDefault="00D940A1" w:rsidP="00E951F4">
      <w:pPr>
        <w:keepNext/>
        <w:keepLines/>
        <w:widowControl/>
        <w:autoSpaceDE w:val="0"/>
        <w:autoSpaceDN w:val="0"/>
        <w:spacing w:line="360" w:lineRule="auto"/>
        <w:contextualSpacing/>
        <w:rPr>
          <w:b/>
          <w:bCs/>
          <w:sz w:val="26"/>
          <w:szCs w:val="26"/>
        </w:rPr>
      </w:pPr>
    </w:p>
    <w:p w14:paraId="1C08170F" w14:textId="77777777" w:rsidR="00D940A1" w:rsidRPr="00E951F4" w:rsidRDefault="00D940A1" w:rsidP="00E951F4">
      <w:pPr>
        <w:keepNext/>
        <w:keepLines/>
        <w:widowControl/>
        <w:autoSpaceDE w:val="0"/>
        <w:autoSpaceDN w:val="0"/>
        <w:spacing w:line="360" w:lineRule="auto"/>
        <w:ind w:firstLine="1440"/>
        <w:rPr>
          <w:sz w:val="26"/>
          <w:szCs w:val="26"/>
        </w:rPr>
      </w:pPr>
      <w:r w:rsidRPr="00E951F4">
        <w:rPr>
          <w:sz w:val="26"/>
          <w:szCs w:val="26"/>
        </w:rPr>
        <w:t xml:space="preserve">The terms and conditions of the “Procurement Plan and Rates” Section C. of the Partial Settlement are set forth verbatim below, with the original paragraph numbers maintained: </w:t>
      </w:r>
    </w:p>
    <w:p w14:paraId="7D694963" w14:textId="77777777" w:rsidR="00D940A1" w:rsidRPr="00E951F4" w:rsidRDefault="00D940A1" w:rsidP="00586B02">
      <w:pPr>
        <w:widowControl/>
        <w:ind w:right="1440"/>
        <w:rPr>
          <w:sz w:val="26"/>
          <w:szCs w:val="26"/>
        </w:rPr>
      </w:pPr>
    </w:p>
    <w:p w14:paraId="4B316698" w14:textId="18EA2169" w:rsidR="00D940A1" w:rsidRPr="00E951F4" w:rsidRDefault="00D940A1" w:rsidP="00E951F4">
      <w:pPr>
        <w:keepNext/>
        <w:keepLines/>
        <w:widowControl/>
        <w:ind w:left="1440" w:right="1440"/>
        <w:rPr>
          <w:sz w:val="26"/>
          <w:szCs w:val="26"/>
        </w:rPr>
      </w:pPr>
      <w:bookmarkStart w:id="25" w:name="_Hlk58425076"/>
      <w:r w:rsidRPr="00E951F4">
        <w:rPr>
          <w:sz w:val="26"/>
          <w:szCs w:val="26"/>
        </w:rPr>
        <w:t>38.</w:t>
      </w:r>
      <w:r w:rsidRPr="00E951F4">
        <w:rPr>
          <w:sz w:val="26"/>
          <w:szCs w:val="26"/>
        </w:rPr>
        <w:tab/>
        <w:t xml:space="preserve">The procurement plans described in paragraphs </w:t>
      </w:r>
      <w:r w:rsidRPr="00E951F4">
        <w:rPr>
          <w:bCs/>
          <w:sz w:val="26"/>
          <w:szCs w:val="26"/>
        </w:rPr>
        <w:t>7-11</w:t>
      </w:r>
      <w:r w:rsidRPr="00E951F4">
        <w:rPr>
          <w:b/>
          <w:sz w:val="26"/>
          <w:szCs w:val="26"/>
        </w:rPr>
        <w:t xml:space="preserve"> </w:t>
      </w:r>
      <w:r w:rsidRPr="00E951F4">
        <w:rPr>
          <w:sz w:val="26"/>
          <w:szCs w:val="26"/>
        </w:rPr>
        <w:t>and 13-46 of Duquesne Light</w:t>
      </w:r>
      <w:r w:rsidR="004D49C7" w:rsidRPr="00E951F4">
        <w:rPr>
          <w:sz w:val="26"/>
          <w:szCs w:val="26"/>
        </w:rPr>
        <w:t>’</w:t>
      </w:r>
      <w:r w:rsidRPr="00E951F4">
        <w:rPr>
          <w:sz w:val="26"/>
          <w:szCs w:val="26"/>
        </w:rPr>
        <w:t>s Petition are approved as proposed without modification.  The DSP IX Plan includes a portfolio of four (4) separate supply plans tailored to meet the specific needs of major customer groups, as described in paragraph 7 of the Petition, which are: (1) Residential and Lighting, (2) Small C&amp;I, (3) Medium C&amp;I &lt;200</w:t>
      </w:r>
      <w:r w:rsidR="003234D8" w:rsidRPr="00E951F4">
        <w:rPr>
          <w:sz w:val="26"/>
          <w:szCs w:val="26"/>
        </w:rPr>
        <w:t xml:space="preserve"> </w:t>
      </w:r>
      <w:r w:rsidRPr="00E951F4">
        <w:rPr>
          <w:sz w:val="26"/>
          <w:szCs w:val="26"/>
        </w:rPr>
        <w:t>kW, and (4)</w:t>
      </w:r>
      <w:r w:rsidR="00586B02">
        <w:rPr>
          <w:sz w:val="26"/>
          <w:szCs w:val="26"/>
        </w:rPr>
        <w:t> </w:t>
      </w:r>
      <w:r w:rsidRPr="00E951F4">
        <w:rPr>
          <w:sz w:val="26"/>
          <w:szCs w:val="26"/>
        </w:rPr>
        <w:t>HPS-Eligible.  Each of these separate supply plans is approved as follows:</w:t>
      </w:r>
    </w:p>
    <w:bookmarkEnd w:id="25"/>
    <w:p w14:paraId="4139AE9C" w14:textId="77777777" w:rsidR="00D940A1" w:rsidRPr="00E951F4" w:rsidRDefault="00D940A1" w:rsidP="00E951F4">
      <w:pPr>
        <w:widowControl/>
        <w:ind w:left="1440" w:right="1440"/>
        <w:rPr>
          <w:sz w:val="26"/>
          <w:szCs w:val="26"/>
        </w:rPr>
      </w:pPr>
    </w:p>
    <w:p w14:paraId="5CEC64E5" w14:textId="77777777" w:rsidR="00D940A1" w:rsidRPr="00E951F4" w:rsidRDefault="00D940A1" w:rsidP="00E951F4">
      <w:pPr>
        <w:keepNext/>
        <w:keepLines/>
        <w:widowControl/>
        <w:numPr>
          <w:ilvl w:val="0"/>
          <w:numId w:val="15"/>
        </w:numPr>
        <w:ind w:right="1440"/>
        <w:rPr>
          <w:sz w:val="26"/>
          <w:szCs w:val="26"/>
        </w:rPr>
      </w:pPr>
      <w:r w:rsidRPr="00E951F4">
        <w:rPr>
          <w:sz w:val="26"/>
          <w:szCs w:val="26"/>
        </w:rPr>
        <w:lastRenderedPageBreak/>
        <w:t>The supply plan applicable to Residential &amp; Lighting Customers set forth in paragraphs 8-11 and paragraphs 13-15 of the Petition is approved without modification.  The residential reconciliation period described in paragraph 12 of the Petition is also approved without modification.</w:t>
      </w:r>
    </w:p>
    <w:p w14:paraId="73E7974E" w14:textId="77777777" w:rsidR="00D940A1" w:rsidRPr="00E951F4" w:rsidRDefault="00D940A1" w:rsidP="00E951F4">
      <w:pPr>
        <w:widowControl/>
        <w:ind w:left="2160" w:right="1440"/>
        <w:rPr>
          <w:sz w:val="26"/>
          <w:szCs w:val="26"/>
        </w:rPr>
      </w:pPr>
    </w:p>
    <w:p w14:paraId="16A47DAE" w14:textId="77777777" w:rsidR="00D940A1" w:rsidRPr="00E951F4" w:rsidRDefault="00D940A1" w:rsidP="00E951F4">
      <w:pPr>
        <w:keepNext/>
        <w:keepLines/>
        <w:widowControl/>
        <w:numPr>
          <w:ilvl w:val="0"/>
          <w:numId w:val="15"/>
        </w:numPr>
        <w:ind w:right="1440"/>
        <w:rPr>
          <w:sz w:val="26"/>
          <w:szCs w:val="26"/>
        </w:rPr>
      </w:pPr>
      <w:r w:rsidRPr="00E951F4">
        <w:rPr>
          <w:sz w:val="26"/>
          <w:szCs w:val="26"/>
        </w:rPr>
        <w:t>The supply plan applicable to Small C&amp;I Customers set forth in paragraphs 16-21 of the Petition is approved without modification.</w:t>
      </w:r>
    </w:p>
    <w:p w14:paraId="3F7636E1" w14:textId="77777777" w:rsidR="00D940A1" w:rsidRPr="00E951F4" w:rsidRDefault="00D940A1" w:rsidP="00E951F4">
      <w:pPr>
        <w:widowControl/>
        <w:ind w:right="1440"/>
        <w:rPr>
          <w:sz w:val="26"/>
          <w:szCs w:val="26"/>
        </w:rPr>
      </w:pPr>
    </w:p>
    <w:p w14:paraId="35243832" w14:textId="77777777" w:rsidR="00D940A1" w:rsidRPr="00E951F4" w:rsidRDefault="00D940A1" w:rsidP="00E951F4">
      <w:pPr>
        <w:keepNext/>
        <w:keepLines/>
        <w:widowControl/>
        <w:numPr>
          <w:ilvl w:val="0"/>
          <w:numId w:val="15"/>
        </w:numPr>
        <w:ind w:right="1440"/>
        <w:rPr>
          <w:sz w:val="26"/>
          <w:szCs w:val="26"/>
        </w:rPr>
      </w:pPr>
      <w:r w:rsidRPr="00E951F4">
        <w:rPr>
          <w:sz w:val="26"/>
          <w:szCs w:val="26"/>
        </w:rPr>
        <w:t>The supply plan applicable to Medium C&amp;I &lt;200kW Customers set forth in paragraphs 22-28 of the Petition is approved without modification.</w:t>
      </w:r>
    </w:p>
    <w:p w14:paraId="498CA391" w14:textId="77777777" w:rsidR="00D940A1" w:rsidRPr="00E951F4" w:rsidRDefault="00D940A1" w:rsidP="00E951F4">
      <w:pPr>
        <w:widowControl/>
        <w:ind w:right="1440"/>
        <w:rPr>
          <w:sz w:val="26"/>
          <w:szCs w:val="26"/>
        </w:rPr>
      </w:pPr>
    </w:p>
    <w:p w14:paraId="336BBD81" w14:textId="77777777" w:rsidR="00D940A1" w:rsidRPr="00E951F4" w:rsidRDefault="00D940A1" w:rsidP="00E951F4">
      <w:pPr>
        <w:keepNext/>
        <w:keepLines/>
        <w:widowControl/>
        <w:numPr>
          <w:ilvl w:val="0"/>
          <w:numId w:val="15"/>
        </w:numPr>
        <w:ind w:right="1440"/>
        <w:rPr>
          <w:sz w:val="26"/>
          <w:szCs w:val="26"/>
        </w:rPr>
      </w:pPr>
      <w:r w:rsidRPr="00E951F4">
        <w:rPr>
          <w:sz w:val="26"/>
          <w:szCs w:val="26"/>
        </w:rPr>
        <w:t>The supply plan applicable to HPS-Eligible Customers set forth in paragraphs 29-33 of the Petition is approved without modification.</w:t>
      </w:r>
    </w:p>
    <w:p w14:paraId="4751D0CF" w14:textId="77777777" w:rsidR="00D940A1" w:rsidRPr="00E951F4" w:rsidRDefault="00D940A1" w:rsidP="00E951F4">
      <w:pPr>
        <w:widowControl/>
        <w:ind w:right="1440"/>
        <w:rPr>
          <w:sz w:val="26"/>
          <w:szCs w:val="26"/>
        </w:rPr>
      </w:pPr>
    </w:p>
    <w:p w14:paraId="28C471F6" w14:textId="7023D3F4" w:rsidR="00D940A1" w:rsidRPr="00E951F4" w:rsidRDefault="00D940A1" w:rsidP="00E951F4">
      <w:pPr>
        <w:keepNext/>
        <w:keepLines/>
        <w:widowControl/>
        <w:numPr>
          <w:ilvl w:val="0"/>
          <w:numId w:val="15"/>
        </w:numPr>
        <w:ind w:right="1440"/>
        <w:rPr>
          <w:sz w:val="26"/>
          <w:szCs w:val="26"/>
        </w:rPr>
      </w:pPr>
      <w:r w:rsidRPr="00E951F4">
        <w:rPr>
          <w:sz w:val="26"/>
          <w:szCs w:val="26"/>
        </w:rPr>
        <w:t>Relatedly, the Supply Master Agreement (</w:t>
      </w:r>
      <w:r w:rsidR="0010559C" w:rsidRPr="00E951F4">
        <w:rPr>
          <w:sz w:val="26"/>
          <w:szCs w:val="26"/>
        </w:rPr>
        <w:t>“</w:t>
      </w:r>
      <w:r w:rsidRPr="00E951F4">
        <w:rPr>
          <w:sz w:val="26"/>
          <w:szCs w:val="26"/>
        </w:rPr>
        <w:t>SMA</w:t>
      </w:r>
      <w:r w:rsidR="0010559C" w:rsidRPr="00E951F4">
        <w:rPr>
          <w:sz w:val="26"/>
          <w:szCs w:val="26"/>
        </w:rPr>
        <w:t>”</w:t>
      </w:r>
      <w:r w:rsidRPr="00E951F4">
        <w:rPr>
          <w:sz w:val="26"/>
          <w:szCs w:val="26"/>
        </w:rPr>
        <w:t>) described in paragraphs 15, 21 and 28 and of the Petition and identified as Duquesne Light Exhibit JP-3 is approved without modification for Residential and Lighting, Small</w:t>
      </w:r>
      <w:r w:rsidRPr="00E951F4">
        <w:rPr>
          <w:color w:val="000000"/>
          <w:sz w:val="26"/>
          <w:szCs w:val="26"/>
        </w:rPr>
        <w:t xml:space="preserve"> </w:t>
      </w:r>
      <w:r w:rsidRPr="00E951F4">
        <w:rPr>
          <w:sz w:val="26"/>
          <w:szCs w:val="26"/>
        </w:rPr>
        <w:t>C&amp;I and Medium C&amp;I procurements.</w:t>
      </w:r>
      <w:r w:rsidRPr="00E951F4">
        <w:rPr>
          <w:sz w:val="26"/>
          <w:szCs w:val="26"/>
          <w:vertAlign w:val="superscript"/>
        </w:rPr>
        <w:footnoteReference w:id="4"/>
      </w:r>
    </w:p>
    <w:p w14:paraId="1354BF44" w14:textId="77777777" w:rsidR="00D940A1" w:rsidRPr="00E951F4" w:rsidRDefault="00D940A1" w:rsidP="00E951F4">
      <w:pPr>
        <w:widowControl/>
        <w:ind w:right="1440"/>
        <w:rPr>
          <w:sz w:val="26"/>
          <w:szCs w:val="26"/>
        </w:rPr>
      </w:pPr>
    </w:p>
    <w:p w14:paraId="353A3F76" w14:textId="3A68304A" w:rsidR="00D940A1" w:rsidRPr="00E951F4" w:rsidRDefault="00D940A1" w:rsidP="00E951F4">
      <w:pPr>
        <w:keepNext/>
        <w:keepLines/>
        <w:widowControl/>
        <w:numPr>
          <w:ilvl w:val="0"/>
          <w:numId w:val="16"/>
        </w:numPr>
        <w:ind w:left="1440" w:right="1440"/>
        <w:rPr>
          <w:sz w:val="26"/>
          <w:szCs w:val="26"/>
        </w:rPr>
      </w:pPr>
      <w:r w:rsidRPr="00E951F4">
        <w:rPr>
          <w:sz w:val="26"/>
          <w:szCs w:val="26"/>
        </w:rPr>
        <w:t>Duquesne Light</w:t>
      </w:r>
      <w:r w:rsidR="0010559C" w:rsidRPr="00E951F4">
        <w:rPr>
          <w:sz w:val="26"/>
          <w:szCs w:val="26"/>
        </w:rPr>
        <w:t>’</w:t>
      </w:r>
      <w:r w:rsidRPr="00E951F4">
        <w:rPr>
          <w:sz w:val="26"/>
          <w:szCs w:val="26"/>
        </w:rPr>
        <w:t>s Petition also described Competitive Procurement Guidelines applicable to (1) Residential and Lighting, (2) Small C&amp;I, (3) Medium C&amp;I &lt;200kW, and (4)</w:t>
      </w:r>
      <w:r w:rsidR="00586B02">
        <w:rPr>
          <w:sz w:val="26"/>
          <w:szCs w:val="26"/>
        </w:rPr>
        <w:t> </w:t>
      </w:r>
      <w:r w:rsidRPr="00E951F4">
        <w:rPr>
          <w:sz w:val="26"/>
          <w:szCs w:val="26"/>
        </w:rPr>
        <w:t>HPS-Eligible customers.  Duquesne Light</w:t>
      </w:r>
      <w:r w:rsidR="0010559C" w:rsidRPr="00E951F4">
        <w:rPr>
          <w:sz w:val="26"/>
          <w:szCs w:val="26"/>
        </w:rPr>
        <w:t>’</w:t>
      </w:r>
      <w:r w:rsidRPr="00E951F4">
        <w:rPr>
          <w:sz w:val="26"/>
          <w:szCs w:val="26"/>
        </w:rPr>
        <w:t>s Competitive Procurement Guidelines set forth in paragraphs 34-37 of the Petition are approved without modification.</w:t>
      </w:r>
    </w:p>
    <w:p w14:paraId="16A16EB5" w14:textId="77777777" w:rsidR="00D940A1" w:rsidRPr="00E951F4" w:rsidRDefault="00D940A1" w:rsidP="00E951F4">
      <w:pPr>
        <w:widowControl/>
        <w:ind w:right="1440"/>
        <w:rPr>
          <w:sz w:val="26"/>
          <w:szCs w:val="26"/>
        </w:rPr>
      </w:pPr>
    </w:p>
    <w:p w14:paraId="4A20CB41" w14:textId="5ED4E66B" w:rsidR="00D940A1" w:rsidRPr="00E951F4" w:rsidRDefault="00D940A1" w:rsidP="00E951F4">
      <w:pPr>
        <w:keepNext/>
        <w:keepLines/>
        <w:widowControl/>
        <w:numPr>
          <w:ilvl w:val="0"/>
          <w:numId w:val="16"/>
        </w:numPr>
        <w:ind w:left="1440" w:right="1440"/>
        <w:rPr>
          <w:sz w:val="26"/>
          <w:szCs w:val="26"/>
        </w:rPr>
      </w:pPr>
      <w:r w:rsidRPr="00E951F4">
        <w:rPr>
          <w:sz w:val="26"/>
          <w:szCs w:val="26"/>
        </w:rPr>
        <w:lastRenderedPageBreak/>
        <w:t>As described in paragraphs 38-44 of the Petition, Duquesne Light</w:t>
      </w:r>
      <w:r w:rsidR="00D12FC9" w:rsidRPr="00E951F4">
        <w:rPr>
          <w:sz w:val="26"/>
          <w:szCs w:val="26"/>
        </w:rPr>
        <w:t>’</w:t>
      </w:r>
      <w:r w:rsidRPr="00E951F4">
        <w:rPr>
          <w:sz w:val="26"/>
          <w:szCs w:val="26"/>
        </w:rPr>
        <w:t>s DSP IX Plan, as modified by the Unopposed Parties Settlement, meets the standards set forth in Act 129, and enables the Commission to make the necessary findings per Section 2807(e)(3.7).  Specifically, the Parties agree that the DSP IX Plan, as modified by the Unopposed Parties Settlement, includes prudent steps necessary to negotiate favorable generation supply contracts, and to obtain least cost generation supply contracts on a long-term, short-term and spot market basis.</w:t>
      </w:r>
      <w:r w:rsidRPr="00E951F4">
        <w:rPr>
          <w:sz w:val="26"/>
          <w:szCs w:val="26"/>
          <w:vertAlign w:val="superscript"/>
        </w:rPr>
        <w:footnoteReference w:id="5"/>
      </w:r>
      <w:r w:rsidRPr="00E951F4">
        <w:rPr>
          <w:sz w:val="26"/>
          <w:szCs w:val="26"/>
        </w:rPr>
        <w:t xml:space="preserve">  The Parties further agree that under the DSP IX Plan, as modified by the Unopposed Parties Settlement, neither Duquesne Light nor its affiliated interest has withheld or will withhold from the market any generation supply in a manner that violates Federal law.</w:t>
      </w:r>
    </w:p>
    <w:p w14:paraId="67224A9D" w14:textId="77777777" w:rsidR="00D940A1" w:rsidRPr="00E951F4" w:rsidRDefault="00D940A1" w:rsidP="00E951F4">
      <w:pPr>
        <w:widowControl/>
        <w:ind w:right="1440"/>
        <w:rPr>
          <w:sz w:val="26"/>
          <w:szCs w:val="26"/>
        </w:rPr>
      </w:pPr>
    </w:p>
    <w:p w14:paraId="40B64E99" w14:textId="77777777" w:rsidR="008434CE" w:rsidRPr="00E951F4" w:rsidRDefault="00D940A1" w:rsidP="00E951F4">
      <w:pPr>
        <w:keepNext/>
        <w:keepLines/>
        <w:widowControl/>
        <w:numPr>
          <w:ilvl w:val="0"/>
          <w:numId w:val="16"/>
        </w:numPr>
        <w:ind w:left="1440" w:right="1440"/>
        <w:rPr>
          <w:sz w:val="26"/>
          <w:szCs w:val="26"/>
        </w:rPr>
      </w:pPr>
      <w:r w:rsidRPr="00E951F4">
        <w:rPr>
          <w:sz w:val="26"/>
          <w:szCs w:val="26"/>
        </w:rPr>
        <w:t>Duquesne Light</w:t>
      </w:r>
      <w:r w:rsidR="008434CE" w:rsidRPr="00E951F4">
        <w:rPr>
          <w:sz w:val="26"/>
          <w:szCs w:val="26"/>
        </w:rPr>
        <w:t>’</w:t>
      </w:r>
      <w:r w:rsidRPr="00E951F4">
        <w:rPr>
          <w:sz w:val="26"/>
          <w:szCs w:val="26"/>
        </w:rPr>
        <w:t xml:space="preserve">s proposal to continue to fully recover the costs incurred from supply solicitations for Residential &amp; Lighting, Small C&amp;I, Medium C&amp;I customers with demands less than 200 kW, and HPS-Eligible customers, gross receipts taxes, along with the costs of hiring the independent monitor, through fully reconcilable Section 1307(e), 66 Pa. C.S. </w:t>
      </w:r>
    </w:p>
    <w:p w14:paraId="2995463F" w14:textId="49D6638F" w:rsidR="00D940A1" w:rsidRPr="00E951F4" w:rsidRDefault="00D940A1" w:rsidP="00E951F4">
      <w:pPr>
        <w:keepNext/>
        <w:keepLines/>
        <w:widowControl/>
        <w:ind w:left="1440" w:right="1440"/>
        <w:rPr>
          <w:sz w:val="26"/>
          <w:szCs w:val="26"/>
        </w:rPr>
      </w:pPr>
      <w:r w:rsidRPr="00E951F4">
        <w:rPr>
          <w:sz w:val="26"/>
          <w:szCs w:val="26"/>
        </w:rPr>
        <w:t>§ 1307(e), cost recovery mechanisms for each class, set forth in paragraph 45 of the Petition, is approved without modification.</w:t>
      </w:r>
    </w:p>
    <w:p w14:paraId="5EB4B73A" w14:textId="77777777" w:rsidR="00D940A1" w:rsidRPr="00E951F4" w:rsidRDefault="00D940A1" w:rsidP="00E951F4">
      <w:pPr>
        <w:widowControl/>
        <w:ind w:left="720"/>
        <w:rPr>
          <w:sz w:val="26"/>
          <w:szCs w:val="26"/>
        </w:rPr>
      </w:pPr>
    </w:p>
    <w:p w14:paraId="55E60BD4" w14:textId="77777777" w:rsidR="00D940A1" w:rsidRPr="00E951F4" w:rsidRDefault="00D940A1" w:rsidP="00E951F4">
      <w:pPr>
        <w:keepNext/>
        <w:keepLines/>
        <w:widowControl/>
        <w:numPr>
          <w:ilvl w:val="0"/>
          <w:numId w:val="16"/>
        </w:numPr>
        <w:ind w:left="1440" w:right="1440"/>
        <w:rPr>
          <w:sz w:val="26"/>
          <w:szCs w:val="26"/>
        </w:rPr>
      </w:pPr>
      <w:bookmarkStart w:id="26" w:name="_Hlk58425804"/>
      <w:r w:rsidRPr="00E951F4">
        <w:rPr>
          <w:sz w:val="26"/>
          <w:szCs w:val="26"/>
        </w:rPr>
        <w:t>Duquesne Light’s proposal to continue to recover its administrative costs for HPS service through a Fixed Retail Administrative Charge, set forth in paragraph 46 of the Petition, is approved without modification.</w:t>
      </w:r>
    </w:p>
    <w:bookmarkEnd w:id="26"/>
    <w:p w14:paraId="7560A319" w14:textId="77777777" w:rsidR="00D940A1" w:rsidRPr="00E951F4" w:rsidRDefault="00D940A1" w:rsidP="00E951F4">
      <w:pPr>
        <w:widowControl/>
        <w:ind w:left="720"/>
        <w:rPr>
          <w:sz w:val="26"/>
          <w:szCs w:val="26"/>
        </w:rPr>
      </w:pPr>
    </w:p>
    <w:p w14:paraId="175DE32E" w14:textId="77777777" w:rsidR="00D940A1" w:rsidRPr="00E951F4" w:rsidRDefault="00D940A1" w:rsidP="00E951F4">
      <w:pPr>
        <w:keepNext/>
        <w:keepLines/>
        <w:widowControl/>
        <w:numPr>
          <w:ilvl w:val="0"/>
          <w:numId w:val="16"/>
        </w:numPr>
        <w:ind w:left="1440" w:right="1440"/>
        <w:rPr>
          <w:sz w:val="26"/>
          <w:szCs w:val="26"/>
        </w:rPr>
      </w:pPr>
      <w:r w:rsidRPr="00E951F4">
        <w:rPr>
          <w:sz w:val="26"/>
          <w:szCs w:val="26"/>
        </w:rPr>
        <w:lastRenderedPageBreak/>
        <w:t>With respect to the MOPR, established by FERC at FERC Docket No. EL18-178, Duquesne Light agrees that it will expand the role of its Market monitor, currently Charles River Associates, to include certifying that Duquesne Light’s Default Service Supply solicitations are conducted through a resource-neutral, non-discriminatory and competitive bidding process.</w:t>
      </w:r>
    </w:p>
    <w:p w14:paraId="07E1212C" w14:textId="77777777" w:rsidR="00D940A1" w:rsidRPr="00E951F4" w:rsidRDefault="00D940A1" w:rsidP="00586B02">
      <w:pPr>
        <w:keepNext/>
        <w:widowControl/>
        <w:spacing w:line="360" w:lineRule="auto"/>
        <w:ind w:left="1440" w:right="1440"/>
        <w:rPr>
          <w:rFonts w:eastAsiaTheme="majorEastAsia"/>
          <w:sz w:val="26"/>
          <w:szCs w:val="26"/>
        </w:rPr>
      </w:pPr>
    </w:p>
    <w:p w14:paraId="62C25712" w14:textId="091B3068" w:rsidR="00D940A1" w:rsidRPr="00E951F4" w:rsidRDefault="00D940A1" w:rsidP="00E951F4">
      <w:pPr>
        <w:keepNext/>
        <w:widowControl/>
        <w:autoSpaceDE w:val="0"/>
        <w:autoSpaceDN w:val="0"/>
        <w:spacing w:line="360" w:lineRule="auto"/>
        <w:contextualSpacing/>
        <w:rPr>
          <w:sz w:val="26"/>
          <w:szCs w:val="26"/>
        </w:rPr>
      </w:pPr>
      <w:r w:rsidRPr="00E951F4">
        <w:rPr>
          <w:sz w:val="26"/>
          <w:szCs w:val="26"/>
        </w:rPr>
        <w:t xml:space="preserve">Partial Settlement ¶¶ 38-43, at 11-13.  </w:t>
      </w:r>
    </w:p>
    <w:p w14:paraId="54932F52" w14:textId="77777777" w:rsidR="00D940A1" w:rsidRPr="00E951F4" w:rsidRDefault="00D940A1" w:rsidP="00E951F4">
      <w:pPr>
        <w:widowControl/>
        <w:autoSpaceDE w:val="0"/>
        <w:autoSpaceDN w:val="0"/>
        <w:spacing w:line="360" w:lineRule="auto"/>
        <w:contextualSpacing/>
        <w:rPr>
          <w:sz w:val="26"/>
          <w:szCs w:val="26"/>
        </w:rPr>
      </w:pPr>
    </w:p>
    <w:p w14:paraId="2D8B3834" w14:textId="3DE290FF" w:rsidR="00D940A1" w:rsidRPr="00E951F4" w:rsidRDefault="00D940A1" w:rsidP="00586B02">
      <w:pPr>
        <w:widowControl/>
        <w:autoSpaceDE w:val="0"/>
        <w:autoSpaceDN w:val="0"/>
        <w:spacing w:line="360" w:lineRule="auto"/>
        <w:ind w:firstLine="1440"/>
        <w:contextualSpacing/>
        <w:rPr>
          <w:sz w:val="26"/>
          <w:szCs w:val="26"/>
        </w:rPr>
      </w:pPr>
      <w:r w:rsidRPr="00E951F4">
        <w:rPr>
          <w:sz w:val="26"/>
          <w:szCs w:val="26"/>
        </w:rPr>
        <w:t xml:space="preserve">Duquesne Light </w:t>
      </w:r>
      <w:r w:rsidR="00581AC6" w:rsidRPr="00E951F4">
        <w:rPr>
          <w:sz w:val="26"/>
          <w:szCs w:val="26"/>
        </w:rPr>
        <w:t>stat</w:t>
      </w:r>
      <w:r w:rsidRPr="00E951F4">
        <w:rPr>
          <w:sz w:val="26"/>
          <w:szCs w:val="26"/>
        </w:rPr>
        <w:t>ed that its four separate supply plans proposed under DSP IX are tailored to meet the specific needs of the customer groups and for consistency with the Commission guidance regarding the “prudent mix” standard under Act 129.  Duquesne Light St</w:t>
      </w:r>
      <w:r w:rsidR="002A78ED" w:rsidRPr="00E951F4">
        <w:rPr>
          <w:sz w:val="26"/>
          <w:szCs w:val="26"/>
        </w:rPr>
        <w:t>atement</w:t>
      </w:r>
      <w:r w:rsidRPr="00E951F4">
        <w:rPr>
          <w:sz w:val="26"/>
          <w:szCs w:val="26"/>
        </w:rPr>
        <w:t xml:space="preserve"> in Support at 6.  Duquesne Light explained that Residential and Lighting customers will continue to be offered default service supply rates that adjust every six months based on fixed-price full requirements</w:t>
      </w:r>
      <w:r w:rsidR="00861514" w:rsidRPr="00E951F4">
        <w:rPr>
          <w:sz w:val="26"/>
          <w:szCs w:val="26"/>
        </w:rPr>
        <w:t xml:space="preserve"> (FPF</w:t>
      </w:r>
      <w:r w:rsidR="00B64652" w:rsidRPr="00E951F4">
        <w:rPr>
          <w:sz w:val="26"/>
          <w:szCs w:val="26"/>
        </w:rPr>
        <w:t>R</w:t>
      </w:r>
      <w:r w:rsidR="00861514" w:rsidRPr="00E951F4">
        <w:rPr>
          <w:sz w:val="26"/>
          <w:szCs w:val="26"/>
        </w:rPr>
        <w:t xml:space="preserve">) </w:t>
      </w:r>
      <w:r w:rsidRPr="00E951F4">
        <w:rPr>
          <w:sz w:val="26"/>
          <w:szCs w:val="26"/>
        </w:rPr>
        <w:t>contracts with twelve-month and twenty-four-month overlapping delivery periods, adding that the contracts will be procured within three months of the start of their delivery periods.  Duquesne Light further explained that default supply for Residential and Lighting customers will be obtained through competitive auctions, with winning bidders selected based on the lowest price.  Duquesne Light St</w:t>
      </w:r>
      <w:r w:rsidR="00761C4F" w:rsidRPr="00E951F4">
        <w:rPr>
          <w:sz w:val="26"/>
          <w:szCs w:val="26"/>
        </w:rPr>
        <w:t>atement</w:t>
      </w:r>
      <w:r w:rsidRPr="00E951F4">
        <w:rPr>
          <w:sz w:val="26"/>
          <w:szCs w:val="26"/>
        </w:rPr>
        <w:t xml:space="preserve"> in Support at 7 (citing Duquesne Light St. 1 at 10).</w:t>
      </w:r>
    </w:p>
    <w:p w14:paraId="4B9C2997" w14:textId="7443ED29" w:rsidR="00615D66" w:rsidRPr="00E951F4" w:rsidRDefault="00615D66" w:rsidP="00586B02">
      <w:pPr>
        <w:widowControl/>
        <w:autoSpaceDE w:val="0"/>
        <w:autoSpaceDN w:val="0"/>
        <w:spacing w:line="360" w:lineRule="auto"/>
        <w:contextualSpacing/>
        <w:rPr>
          <w:sz w:val="26"/>
          <w:szCs w:val="26"/>
        </w:rPr>
      </w:pPr>
    </w:p>
    <w:p w14:paraId="525CFDFD" w14:textId="547FF30D" w:rsidR="00D940A1" w:rsidRPr="00E951F4" w:rsidRDefault="00D940A1" w:rsidP="00586B02">
      <w:pPr>
        <w:widowControl/>
        <w:autoSpaceDE w:val="0"/>
        <w:autoSpaceDN w:val="0"/>
        <w:spacing w:line="360" w:lineRule="auto"/>
        <w:ind w:firstLine="1440"/>
        <w:contextualSpacing/>
        <w:rPr>
          <w:i/>
          <w:iCs/>
          <w:sz w:val="26"/>
          <w:szCs w:val="26"/>
        </w:rPr>
      </w:pPr>
      <w:r w:rsidRPr="00E951F4">
        <w:rPr>
          <w:sz w:val="26"/>
          <w:szCs w:val="26"/>
        </w:rPr>
        <w:t xml:space="preserve">Duquesne Light stated that default service supply for Residential and Lighting customers will be split into </w:t>
      </w:r>
      <w:r w:rsidR="00761C4F" w:rsidRPr="00E951F4">
        <w:rPr>
          <w:sz w:val="26"/>
          <w:szCs w:val="26"/>
        </w:rPr>
        <w:t>forty-eight</w:t>
      </w:r>
      <w:r w:rsidRPr="00E951F4">
        <w:rPr>
          <w:sz w:val="26"/>
          <w:szCs w:val="26"/>
        </w:rPr>
        <w:t xml:space="preserve"> equal tranches, each representing approximately 2.08333% of the total hourly default service load for the Residential and Lighting class.  Further, Duquesne Light noted that although no supply portfolio changes to the Residential and Lighting class procurement plan were proposed, the procurement plan for Residential and Lighting customers will continue to include products from the current DSP that extend into the proposed DSP IX period (or “overhang” products) to account for Duquesne Light’s modification of its current DSP procurement schedule regarding the 2022/2023 PJM planning year.  Duquesne Light St</w:t>
      </w:r>
      <w:r w:rsidR="009C5FD0" w:rsidRPr="00E951F4">
        <w:rPr>
          <w:sz w:val="26"/>
          <w:szCs w:val="26"/>
        </w:rPr>
        <w:t>atement</w:t>
      </w:r>
      <w:r w:rsidRPr="00E951F4">
        <w:rPr>
          <w:sz w:val="26"/>
          <w:szCs w:val="26"/>
        </w:rPr>
        <w:t xml:space="preserve"> in Support at 7 </w:t>
      </w:r>
      <w:r w:rsidRPr="00E951F4">
        <w:rPr>
          <w:sz w:val="26"/>
          <w:szCs w:val="26"/>
        </w:rPr>
        <w:lastRenderedPageBreak/>
        <w:t xml:space="preserve">(citing Duquesne Light St. 2 at 8-11).  Moreover, Duquesne Light averred that the Residential and Lighting procurement plan will continue the same supplier load cap approved by the Commission in Duquesne Light’s current DSP.  </w:t>
      </w:r>
      <w:r w:rsidRPr="00E951F4">
        <w:rPr>
          <w:i/>
          <w:iCs/>
          <w:sz w:val="26"/>
          <w:szCs w:val="26"/>
        </w:rPr>
        <w:t>Id.</w:t>
      </w:r>
    </w:p>
    <w:p w14:paraId="5488A900" w14:textId="77777777" w:rsidR="00D940A1" w:rsidRPr="00E951F4" w:rsidRDefault="00D940A1" w:rsidP="00E951F4">
      <w:pPr>
        <w:widowControl/>
        <w:autoSpaceDE w:val="0"/>
        <w:autoSpaceDN w:val="0"/>
        <w:spacing w:line="360" w:lineRule="auto"/>
        <w:ind w:firstLine="1440"/>
        <w:contextualSpacing/>
        <w:rPr>
          <w:sz w:val="26"/>
          <w:szCs w:val="26"/>
        </w:rPr>
      </w:pPr>
    </w:p>
    <w:p w14:paraId="19C859E4" w14:textId="5BAAD700"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Duquesne Light explained that Small C&amp;I customers will continue to be offered default service supply rates that adjust every six months based on FPFR contracts with twelve-month and twenty-four-month overlapping delivery periods, adding that the contracts will be procured within three months of the start of their delivery periods.  Duquesne Light further explained that default supply for Small C&amp;I customers will be obtained through competitive auctions, with winning bidders selected based on the lowest price.  Duquesne Light St</w:t>
      </w:r>
      <w:r w:rsidR="009C5FD0" w:rsidRPr="00E951F4">
        <w:rPr>
          <w:sz w:val="26"/>
          <w:szCs w:val="26"/>
        </w:rPr>
        <w:t>atement</w:t>
      </w:r>
      <w:r w:rsidRPr="00E951F4">
        <w:rPr>
          <w:sz w:val="26"/>
          <w:szCs w:val="26"/>
        </w:rPr>
        <w:t xml:space="preserve"> in Support at 7-8 (citing Duquesne Light St. 1 at 9-10).</w:t>
      </w:r>
    </w:p>
    <w:p w14:paraId="362D4117" w14:textId="77777777" w:rsidR="00D940A1" w:rsidRPr="00E951F4" w:rsidRDefault="00D940A1" w:rsidP="00E951F4">
      <w:pPr>
        <w:widowControl/>
        <w:autoSpaceDE w:val="0"/>
        <w:autoSpaceDN w:val="0"/>
        <w:spacing w:line="360" w:lineRule="auto"/>
        <w:ind w:firstLine="1440"/>
        <w:contextualSpacing/>
        <w:rPr>
          <w:sz w:val="26"/>
          <w:szCs w:val="26"/>
        </w:rPr>
      </w:pPr>
    </w:p>
    <w:p w14:paraId="0126F137" w14:textId="086432C4"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 xml:space="preserve">Duquesne Light stated that default service supply for Small C&amp;I customers will be split into eight tranches consisting of twelve-month and twenty-four-month products, each representing approximately 12.5% of the total hourly default service load for the Small C&amp;I class, and the delivery period for each product will overlap on a semi-annual basis.  Further, Duquesne Light noted that although no supply portfolio changes to the Small C&amp;I class procurement plan were proposed, the procurement plan for Small C&amp;I customers will continue to include products from the current DSP that extend into the proposed DSP IX period (or “overhang” products) to account for Duquesne Light’s modification of its current DSP procurement schedule </w:t>
      </w:r>
      <w:bookmarkStart w:id="27" w:name="_Hlk58485406"/>
      <w:r w:rsidRPr="00E951F4">
        <w:rPr>
          <w:sz w:val="26"/>
          <w:szCs w:val="26"/>
        </w:rPr>
        <w:t>regarding the 2022/2023 PJM planning year</w:t>
      </w:r>
      <w:bookmarkEnd w:id="27"/>
      <w:r w:rsidRPr="00E951F4">
        <w:rPr>
          <w:sz w:val="26"/>
          <w:szCs w:val="26"/>
        </w:rPr>
        <w:t>.  Duquesne Light St</w:t>
      </w:r>
      <w:r w:rsidR="00635381" w:rsidRPr="00E951F4">
        <w:rPr>
          <w:sz w:val="26"/>
          <w:szCs w:val="26"/>
        </w:rPr>
        <w:t>atement</w:t>
      </w:r>
      <w:r w:rsidRPr="00E951F4">
        <w:rPr>
          <w:sz w:val="26"/>
          <w:szCs w:val="26"/>
        </w:rPr>
        <w:t xml:space="preserve"> in Support at 8 (citing Duquesne Light St. 2 at</w:t>
      </w:r>
      <w:r w:rsidR="00586B02">
        <w:rPr>
          <w:sz w:val="26"/>
          <w:szCs w:val="26"/>
        </w:rPr>
        <w:t> </w:t>
      </w:r>
      <w:r w:rsidRPr="00E951F4">
        <w:rPr>
          <w:sz w:val="26"/>
          <w:szCs w:val="26"/>
        </w:rPr>
        <w:t xml:space="preserve">8-11).  Moreover, Duquesne Light averred that the Small C&amp;I procurement plan will continue the same supplier load cap approved by the Commission in Duquesne Light’s current DSP.  </w:t>
      </w:r>
      <w:r w:rsidRPr="00E951F4">
        <w:rPr>
          <w:i/>
          <w:iCs/>
          <w:sz w:val="26"/>
          <w:szCs w:val="26"/>
        </w:rPr>
        <w:t>Id.</w:t>
      </w:r>
    </w:p>
    <w:p w14:paraId="4E0086FF" w14:textId="77777777" w:rsidR="00D940A1" w:rsidRPr="00E951F4" w:rsidRDefault="00D940A1" w:rsidP="00E951F4">
      <w:pPr>
        <w:widowControl/>
        <w:autoSpaceDE w:val="0"/>
        <w:autoSpaceDN w:val="0"/>
        <w:spacing w:line="360" w:lineRule="auto"/>
        <w:ind w:firstLine="1440"/>
        <w:contextualSpacing/>
        <w:rPr>
          <w:sz w:val="26"/>
          <w:szCs w:val="26"/>
        </w:rPr>
      </w:pPr>
    </w:p>
    <w:p w14:paraId="0547D170" w14:textId="7E99F769"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 xml:space="preserve">Duquesne Light explained that Medium C&amp;I &lt;200kW customers will continue to be offered default service supply rates that adjust quarterly based on FPFR contracts with three-month non-overlapping delivery periods, adding that the contracts </w:t>
      </w:r>
      <w:r w:rsidRPr="00E951F4">
        <w:rPr>
          <w:sz w:val="26"/>
          <w:szCs w:val="26"/>
        </w:rPr>
        <w:lastRenderedPageBreak/>
        <w:t>will be procured within three months of the start of their delivery periods.  Duquesne Light further explained that default service supply for Medium C&amp;I &lt;200kW customers will be obtained through competitive auctions, with winning bidders selected based on the lowest price.  Duquesne Light St</w:t>
      </w:r>
      <w:r w:rsidR="00635381" w:rsidRPr="00E951F4">
        <w:rPr>
          <w:sz w:val="26"/>
          <w:szCs w:val="26"/>
        </w:rPr>
        <w:t>atement</w:t>
      </w:r>
      <w:r w:rsidRPr="00E951F4">
        <w:rPr>
          <w:sz w:val="26"/>
          <w:szCs w:val="26"/>
        </w:rPr>
        <w:t xml:space="preserve"> in Support at 8 (citing Duquesne Light St. 1 at 9).</w:t>
      </w:r>
    </w:p>
    <w:p w14:paraId="2F3A6ABD" w14:textId="77777777" w:rsidR="00D940A1" w:rsidRPr="00E951F4" w:rsidRDefault="00D940A1" w:rsidP="00E951F4">
      <w:pPr>
        <w:widowControl/>
        <w:autoSpaceDE w:val="0"/>
        <w:autoSpaceDN w:val="0"/>
        <w:spacing w:line="360" w:lineRule="auto"/>
        <w:ind w:firstLine="1440"/>
        <w:contextualSpacing/>
        <w:rPr>
          <w:sz w:val="26"/>
          <w:szCs w:val="26"/>
        </w:rPr>
      </w:pPr>
    </w:p>
    <w:p w14:paraId="6F1D9F36" w14:textId="1E106B9E"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Duquesne Light stated that Medium C&amp;I &lt;200kW customers will continue to be composed of three-month products with 100% of the supply replaced every three months and supply continuing to be split into four equal tranches of 25% of the total Medium C&amp;I &lt;200kW hourly default service load.  Further, Duquesne Light noted that default service rates for this class will continue to change quarterly (</w:t>
      </w:r>
      <w:r w:rsidRPr="00E951F4">
        <w:rPr>
          <w:i/>
          <w:iCs/>
          <w:sz w:val="26"/>
          <w:szCs w:val="26"/>
        </w:rPr>
        <w:t>i.e.</w:t>
      </w:r>
      <w:r w:rsidRPr="00E951F4">
        <w:rPr>
          <w:sz w:val="26"/>
          <w:szCs w:val="26"/>
        </w:rPr>
        <w:t>, on June 1, September 1, December 1, and March 1).  Moreover, Duquesne Light noted that it did not propose supply portfolio changes to the Medium C&amp;I &lt;200kW class procurement plan</w:t>
      </w:r>
      <w:r w:rsidR="001344A1" w:rsidRPr="00E951F4">
        <w:rPr>
          <w:sz w:val="26"/>
          <w:szCs w:val="26"/>
        </w:rPr>
        <w:t>,</w:t>
      </w:r>
      <w:r w:rsidRPr="00E951F4">
        <w:rPr>
          <w:sz w:val="26"/>
          <w:szCs w:val="26"/>
        </w:rPr>
        <w:t xml:space="preserve"> and the procurement plan will continue to not include supplier load caps.  Duquesne Light St</w:t>
      </w:r>
      <w:r w:rsidR="001344A1" w:rsidRPr="00E951F4">
        <w:rPr>
          <w:sz w:val="26"/>
          <w:szCs w:val="26"/>
        </w:rPr>
        <w:t>atement</w:t>
      </w:r>
      <w:r w:rsidRPr="00E951F4">
        <w:rPr>
          <w:sz w:val="26"/>
          <w:szCs w:val="26"/>
        </w:rPr>
        <w:t xml:space="preserve"> in Support at 8-9 (citing Duquesne Light St. 2 at 12-13).</w:t>
      </w:r>
    </w:p>
    <w:p w14:paraId="5E71D08E" w14:textId="77777777" w:rsidR="00D940A1" w:rsidRPr="00E951F4" w:rsidRDefault="00D940A1" w:rsidP="00E951F4">
      <w:pPr>
        <w:widowControl/>
        <w:autoSpaceDE w:val="0"/>
        <w:autoSpaceDN w:val="0"/>
        <w:spacing w:line="360" w:lineRule="auto"/>
        <w:ind w:firstLine="1440"/>
        <w:contextualSpacing/>
        <w:rPr>
          <w:sz w:val="26"/>
          <w:szCs w:val="26"/>
        </w:rPr>
      </w:pPr>
    </w:p>
    <w:p w14:paraId="4F5AADD4" w14:textId="665E857B"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Regarding HPS-Eligible customers, which consists of Large C&amp;I customers and Medium C&amp;I ≥200kW customers, Duquesne Light explained that it plans to continue to offer default service supply rates that are based on hourly spot market energy prices, and that customers will continue to be charged a pass-through of PJM capacity and ancillary services costs, as well as the administrative costs of providing HPS.  Duquesne Light further explained that it proposed to continue to procure the supply for this service through a competitive auction process and that it will maintain its current DSP procurement plan for the HPS-Eligible service product.  Duquesne Light added that the procurement plan will continue to not include supplier load caps.  Duquesne Light St</w:t>
      </w:r>
      <w:r w:rsidR="002E3757" w:rsidRPr="00E951F4">
        <w:rPr>
          <w:sz w:val="26"/>
          <w:szCs w:val="26"/>
        </w:rPr>
        <w:t>atement</w:t>
      </w:r>
      <w:r w:rsidRPr="00E951F4">
        <w:rPr>
          <w:sz w:val="26"/>
          <w:szCs w:val="26"/>
        </w:rPr>
        <w:t xml:space="preserve"> in Support at 9 (citing Duquesne Light St.1 at 9</w:t>
      </w:r>
      <w:r w:rsidR="00637153" w:rsidRPr="00E951F4">
        <w:rPr>
          <w:sz w:val="26"/>
          <w:szCs w:val="26"/>
        </w:rPr>
        <w:t>;</w:t>
      </w:r>
      <w:r w:rsidRPr="00E951F4">
        <w:rPr>
          <w:sz w:val="26"/>
          <w:szCs w:val="26"/>
        </w:rPr>
        <w:t xml:space="preserve"> </w:t>
      </w:r>
      <w:r w:rsidR="00637153" w:rsidRPr="00E951F4">
        <w:rPr>
          <w:sz w:val="26"/>
          <w:szCs w:val="26"/>
        </w:rPr>
        <w:t xml:space="preserve">Duquesne Light St. </w:t>
      </w:r>
      <w:r w:rsidRPr="00E951F4">
        <w:rPr>
          <w:sz w:val="26"/>
          <w:szCs w:val="26"/>
        </w:rPr>
        <w:t>2 at 13).</w:t>
      </w:r>
    </w:p>
    <w:p w14:paraId="64CB7A7A" w14:textId="77777777" w:rsidR="00D940A1" w:rsidRPr="00E951F4" w:rsidRDefault="00D940A1" w:rsidP="00E951F4">
      <w:pPr>
        <w:widowControl/>
        <w:autoSpaceDE w:val="0"/>
        <w:autoSpaceDN w:val="0"/>
        <w:spacing w:line="360" w:lineRule="auto"/>
        <w:ind w:firstLine="1440"/>
        <w:contextualSpacing/>
        <w:rPr>
          <w:sz w:val="26"/>
          <w:szCs w:val="26"/>
        </w:rPr>
      </w:pPr>
    </w:p>
    <w:p w14:paraId="6D2679B4" w14:textId="04233A3F"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 xml:space="preserve">Duquesne Light addressed a concern that was raised by the OCA in this proceeding regarding the Minimum Offer Price Rule (MOPR), established by </w:t>
      </w:r>
      <w:r w:rsidR="007703D0" w:rsidRPr="00E951F4">
        <w:rPr>
          <w:sz w:val="26"/>
          <w:szCs w:val="26"/>
        </w:rPr>
        <w:t xml:space="preserve">the Federal </w:t>
      </w:r>
      <w:r w:rsidR="007703D0" w:rsidRPr="00E951F4">
        <w:rPr>
          <w:sz w:val="26"/>
          <w:szCs w:val="26"/>
        </w:rPr>
        <w:lastRenderedPageBreak/>
        <w:t>Energy Regulatory Commission (</w:t>
      </w:r>
      <w:r w:rsidRPr="00E951F4">
        <w:rPr>
          <w:sz w:val="26"/>
          <w:szCs w:val="26"/>
        </w:rPr>
        <w:t>FERC</w:t>
      </w:r>
      <w:r w:rsidR="007703D0" w:rsidRPr="00E951F4">
        <w:rPr>
          <w:sz w:val="26"/>
          <w:szCs w:val="26"/>
        </w:rPr>
        <w:t>)</w:t>
      </w:r>
      <w:r w:rsidRPr="00E951F4">
        <w:rPr>
          <w:sz w:val="26"/>
          <w:szCs w:val="26"/>
        </w:rPr>
        <w:t xml:space="preserve"> Docket No. EL-18</w:t>
      </w:r>
      <w:r w:rsidRPr="00E951F4">
        <w:rPr>
          <w:sz w:val="26"/>
          <w:szCs w:val="26"/>
        </w:rPr>
        <w:softHyphen/>
        <w:t>178.  Specifically, Duquesne Light continued, the OCA requested that Duquesne Light expand the role of its Market Monitor to include certifying that the solicitations are conducted through a resource-neutral, non-discriminatory and competitive bidding process, and that Duquesne Light’s requests for proposals meet all of the requirements for an exemption from the definition of state subsidy under the MOPR.  Duquesne Light St</w:t>
      </w:r>
      <w:r w:rsidR="00244C50" w:rsidRPr="00E951F4">
        <w:rPr>
          <w:sz w:val="26"/>
          <w:szCs w:val="26"/>
        </w:rPr>
        <w:t>atement</w:t>
      </w:r>
      <w:r w:rsidRPr="00E951F4">
        <w:rPr>
          <w:sz w:val="26"/>
          <w:szCs w:val="26"/>
        </w:rPr>
        <w:t xml:space="preserve"> in Support at 10 (citing OCA St. 1 at 11).  Duquesne Light noted that although</w:t>
      </w:r>
      <w:r w:rsidRPr="00E951F4">
        <w:rPr>
          <w:color w:val="000000"/>
          <w:sz w:val="26"/>
          <w:szCs w:val="26"/>
        </w:rPr>
        <w:t xml:space="preserve"> </w:t>
      </w:r>
      <w:r w:rsidRPr="00E951F4">
        <w:rPr>
          <w:sz w:val="26"/>
          <w:szCs w:val="26"/>
        </w:rPr>
        <w:t>it believed that its procurement process complied with the MOPR, Duquesne Light proposed to expand the role of its Market Monitor by having it certify that the solicitation was conducted through a resource-neutral, non-discriminatory and competitive bidding process, beginning with the September 2020 default service supply procurement and extending through to the DSP IX.  OCA St</w:t>
      </w:r>
      <w:r w:rsidR="002B0E0C" w:rsidRPr="00E951F4">
        <w:rPr>
          <w:sz w:val="26"/>
          <w:szCs w:val="26"/>
        </w:rPr>
        <w:t>atement</w:t>
      </w:r>
      <w:r w:rsidRPr="00E951F4">
        <w:rPr>
          <w:sz w:val="26"/>
          <w:szCs w:val="26"/>
        </w:rPr>
        <w:t xml:space="preserve"> in Support at 4-5; Duquesne Light St</w:t>
      </w:r>
      <w:r w:rsidR="002B0E0C" w:rsidRPr="00E951F4">
        <w:rPr>
          <w:sz w:val="26"/>
          <w:szCs w:val="26"/>
        </w:rPr>
        <w:t>atement</w:t>
      </w:r>
      <w:r w:rsidRPr="00E951F4">
        <w:rPr>
          <w:sz w:val="26"/>
          <w:szCs w:val="26"/>
        </w:rPr>
        <w:t xml:space="preserve"> in Support at 10 (citing Duquesne Light St. 2-R at 4-5).  Duquesne Light added that under the Partial Settlement, it agreed to expand the role of its Market Monitor, currently Charles River Associates, to include certifying that Duquesne Light’s default service supply solicitations are conducted through a resource-neutral, non-discriminatory and competitive bidding process.  This provision of the Partial Settlement, Duquesne Light continued, addresses the OCA’s concerns and ensures that Duquesne Light’s default service supply solicitation process will continue to be resource-neutral, non</w:t>
      </w:r>
      <w:r w:rsidRPr="00E951F4">
        <w:rPr>
          <w:sz w:val="26"/>
          <w:szCs w:val="26"/>
        </w:rPr>
        <w:softHyphen/>
        <w:t>discriminatory and competitive.  Duquesne Light St</w:t>
      </w:r>
      <w:r w:rsidR="000B4ED4" w:rsidRPr="00E951F4">
        <w:rPr>
          <w:sz w:val="26"/>
          <w:szCs w:val="26"/>
        </w:rPr>
        <w:t>atement</w:t>
      </w:r>
      <w:r w:rsidRPr="00E951F4">
        <w:rPr>
          <w:sz w:val="26"/>
          <w:szCs w:val="26"/>
        </w:rPr>
        <w:t xml:space="preserve"> in Support at 10.  </w:t>
      </w:r>
    </w:p>
    <w:p w14:paraId="7817D0FE" w14:textId="77777777" w:rsidR="00D940A1" w:rsidRPr="00E951F4" w:rsidRDefault="00D940A1" w:rsidP="00E951F4">
      <w:pPr>
        <w:widowControl/>
        <w:autoSpaceDE w:val="0"/>
        <w:autoSpaceDN w:val="0"/>
        <w:spacing w:line="360" w:lineRule="auto"/>
        <w:ind w:firstLine="1440"/>
        <w:contextualSpacing/>
        <w:rPr>
          <w:sz w:val="26"/>
          <w:szCs w:val="26"/>
        </w:rPr>
      </w:pPr>
    </w:p>
    <w:p w14:paraId="44B9A1F9" w14:textId="7DFD3915"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 xml:space="preserve">Duquesne Light provided that it established a contingency plan to procure supply for each of the classes.  Duquesne Light elaborated that, in the event that it receives bids for less than all tranches, or the Commission does not approve of the results for all of the tranches, or a supplier is in default, Duquesne Light will provide the balance of the default supply through PJM spot market purchases and it will file an emergency plan with the Commission to address any shortfall in default service within fifteen days of such an event.  Duquesne Light added that all costs associated with implementing the </w:t>
      </w:r>
      <w:r w:rsidRPr="00E951F4">
        <w:rPr>
          <w:sz w:val="26"/>
          <w:szCs w:val="26"/>
        </w:rPr>
        <w:lastRenderedPageBreak/>
        <w:t>contingency plan will be included in the Default Service Support (DSS) Rider.  Duquesne Light St</w:t>
      </w:r>
      <w:r w:rsidR="00E30D20" w:rsidRPr="00E951F4">
        <w:rPr>
          <w:sz w:val="26"/>
          <w:szCs w:val="26"/>
        </w:rPr>
        <w:t>atement</w:t>
      </w:r>
      <w:r w:rsidRPr="00E951F4">
        <w:rPr>
          <w:sz w:val="26"/>
          <w:szCs w:val="26"/>
        </w:rPr>
        <w:t xml:space="preserve"> in Support at 10-11 (citing Duquesne Light St. 2 at 15).</w:t>
      </w:r>
    </w:p>
    <w:p w14:paraId="2087B77C" w14:textId="77777777" w:rsidR="00D940A1" w:rsidRPr="00E951F4" w:rsidRDefault="00D940A1" w:rsidP="00E951F4">
      <w:pPr>
        <w:widowControl/>
        <w:autoSpaceDE w:val="0"/>
        <w:autoSpaceDN w:val="0"/>
        <w:spacing w:line="360" w:lineRule="auto"/>
        <w:ind w:firstLine="1440"/>
        <w:contextualSpacing/>
        <w:rPr>
          <w:sz w:val="26"/>
          <w:szCs w:val="26"/>
        </w:rPr>
      </w:pPr>
    </w:p>
    <w:p w14:paraId="1196C45A" w14:textId="7A0577ED"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 xml:space="preserve">Duquesne Light also provided that, although it proposed to continue to use the SMA template developed by the Procurement Collaboration Working Group, Duquesne Light proposed three categories of modifications to capture changes to PJM nomenclature, expand assignment provisions, and make housekeeping changes for clarity.  </w:t>
      </w:r>
      <w:bookmarkStart w:id="28" w:name="_Hlk58943805"/>
      <w:r w:rsidRPr="00E951F4">
        <w:rPr>
          <w:sz w:val="26"/>
          <w:szCs w:val="26"/>
        </w:rPr>
        <w:t>Duquesne Light St</w:t>
      </w:r>
      <w:r w:rsidR="00162E31" w:rsidRPr="00E951F4">
        <w:rPr>
          <w:sz w:val="26"/>
          <w:szCs w:val="26"/>
        </w:rPr>
        <w:t>atement</w:t>
      </w:r>
      <w:r w:rsidRPr="00E951F4">
        <w:rPr>
          <w:sz w:val="26"/>
          <w:szCs w:val="26"/>
        </w:rPr>
        <w:t xml:space="preserve"> in Support at 11 </w:t>
      </w:r>
      <w:bookmarkEnd w:id="28"/>
      <w:r w:rsidRPr="00E951F4">
        <w:rPr>
          <w:sz w:val="26"/>
          <w:szCs w:val="26"/>
        </w:rPr>
        <w:t>(citing Duquesne Light Exh. JP-3; Duquesne Light St. 2 at 19</w:t>
      </w:r>
      <w:r w:rsidR="00162E31" w:rsidRPr="00E951F4">
        <w:rPr>
          <w:sz w:val="26"/>
          <w:szCs w:val="26"/>
        </w:rPr>
        <w:t>)</w:t>
      </w:r>
      <w:r w:rsidRPr="00E951F4">
        <w:rPr>
          <w:sz w:val="26"/>
          <w:szCs w:val="26"/>
        </w:rPr>
        <w:t>.  Duquesne Light added that none of the Parties opposed Duquesne Light’s proposed procurement plans and guidelines.  Duquesne Light St</w:t>
      </w:r>
      <w:r w:rsidR="00162E31" w:rsidRPr="00E951F4">
        <w:rPr>
          <w:sz w:val="26"/>
          <w:szCs w:val="26"/>
        </w:rPr>
        <w:t>atement</w:t>
      </w:r>
      <w:r w:rsidRPr="00E951F4">
        <w:rPr>
          <w:sz w:val="26"/>
          <w:szCs w:val="26"/>
        </w:rPr>
        <w:t xml:space="preserve"> in Support at 11.</w:t>
      </w:r>
    </w:p>
    <w:p w14:paraId="5FF75BED" w14:textId="77777777" w:rsidR="00D940A1" w:rsidRPr="00E951F4" w:rsidRDefault="00D940A1" w:rsidP="00E951F4">
      <w:pPr>
        <w:widowControl/>
        <w:autoSpaceDE w:val="0"/>
        <w:autoSpaceDN w:val="0"/>
        <w:spacing w:line="360" w:lineRule="auto"/>
        <w:ind w:firstLine="1440"/>
        <w:contextualSpacing/>
        <w:rPr>
          <w:sz w:val="26"/>
          <w:szCs w:val="26"/>
        </w:rPr>
      </w:pPr>
    </w:p>
    <w:p w14:paraId="2F8E8BE2" w14:textId="17D8980E" w:rsidR="00D940A1" w:rsidRPr="00E951F4" w:rsidRDefault="00D940A1" w:rsidP="00E951F4">
      <w:pPr>
        <w:widowControl/>
        <w:spacing w:line="360" w:lineRule="auto"/>
        <w:ind w:firstLine="1440"/>
        <w:contextualSpacing/>
        <w:textAlignment w:val="baseline"/>
        <w:rPr>
          <w:color w:val="000000"/>
          <w:sz w:val="26"/>
          <w:szCs w:val="26"/>
        </w:rPr>
      </w:pPr>
      <w:r w:rsidRPr="00E951F4">
        <w:rPr>
          <w:sz w:val="26"/>
          <w:szCs w:val="26"/>
        </w:rPr>
        <w:t xml:space="preserve">Duquesne Light acknowledged its proposal to continue to fully recover the costs incurred from supply solicitations for Residential and Lighting, Small C&amp;I, Medium C&amp;I customers with demands less than 200 kW, HPS-Eligible customers, gross receipts taxes, and the costs of hiring the independent monitor, through fully reconcilable Section 1307(e), 66 Pa. C.S. § 1307(e), cost recovery mechanisms for each class.  Specifically, Duquesne Light asserted that its witness, Mr. </w:t>
      </w:r>
      <w:r w:rsidR="00653A72" w:rsidRPr="00E951F4">
        <w:rPr>
          <w:sz w:val="26"/>
          <w:szCs w:val="26"/>
        </w:rPr>
        <w:t xml:space="preserve">David B. </w:t>
      </w:r>
      <w:r w:rsidRPr="00E951F4">
        <w:rPr>
          <w:sz w:val="26"/>
          <w:szCs w:val="26"/>
        </w:rPr>
        <w:t>Ogden, explained the basis for calculating each class’s rates and provided exhibits that demonstrated the derivation of the rate for each class and the rate factors used to derive those rates.  Duquesne Light St</w:t>
      </w:r>
      <w:r w:rsidR="00162E31" w:rsidRPr="00E951F4">
        <w:rPr>
          <w:sz w:val="26"/>
          <w:szCs w:val="26"/>
        </w:rPr>
        <w:t>atement</w:t>
      </w:r>
      <w:r w:rsidRPr="00E951F4">
        <w:rPr>
          <w:sz w:val="26"/>
          <w:szCs w:val="26"/>
        </w:rPr>
        <w:t xml:space="preserve"> in Support at 12 (citing Duquesne Light St. 4 at 6-13).  Duquesne Light noted that the OCA argued that in order to provide additional rate stability, Duquesne Light should revise its reconciliation mechanism to be a six-month reconciliation mechanism with cost recovery over a twelve-month period, as opposed to a six-month reconciliation mechanism with a cost recovery over a six-month period.  Duquesne Light St</w:t>
      </w:r>
      <w:r w:rsidR="00A51721" w:rsidRPr="00E951F4">
        <w:rPr>
          <w:sz w:val="26"/>
          <w:szCs w:val="26"/>
        </w:rPr>
        <w:t>atement</w:t>
      </w:r>
      <w:r w:rsidRPr="00E951F4">
        <w:rPr>
          <w:sz w:val="26"/>
          <w:szCs w:val="26"/>
        </w:rPr>
        <w:t xml:space="preserve"> in Support at 12 (citing OCA St. 1 at 17).  Duquesne Light explained that Mr. Ogden offered that</w:t>
      </w:r>
      <w:r w:rsidRPr="00E951F4">
        <w:rPr>
          <w:color w:val="000000"/>
          <w:sz w:val="26"/>
          <w:szCs w:val="26"/>
        </w:rPr>
        <w:t xml:space="preserve"> there is little variability in the over/under collection component of default service rates because Duquesne Light procures default supplies through full-requirements contracts, adding that changing from a six-month cost </w:t>
      </w:r>
      <w:r w:rsidRPr="00E951F4">
        <w:rPr>
          <w:color w:val="000000"/>
          <w:sz w:val="26"/>
          <w:szCs w:val="26"/>
        </w:rPr>
        <w:lastRenderedPageBreak/>
        <w:t>recovery period to a twelve-month cost recovery period would not have a material impact on the price-to-compare (PTC).  Duquesne Light St</w:t>
      </w:r>
      <w:r w:rsidR="00A51721" w:rsidRPr="00E951F4">
        <w:rPr>
          <w:color w:val="000000"/>
          <w:sz w:val="26"/>
          <w:szCs w:val="26"/>
        </w:rPr>
        <w:t>atement</w:t>
      </w:r>
      <w:r w:rsidRPr="00E951F4">
        <w:rPr>
          <w:color w:val="000000"/>
          <w:sz w:val="26"/>
          <w:szCs w:val="26"/>
        </w:rPr>
        <w:t xml:space="preserve"> in Support at 12 (citing Duquesne Light St. 4-R at 10).  Duquesne Light concluded by noting that its position was adopted by the Partial Settlement on this matter.  Duquesne Light St</w:t>
      </w:r>
      <w:r w:rsidR="00A51721" w:rsidRPr="00E951F4">
        <w:rPr>
          <w:color w:val="000000"/>
          <w:sz w:val="26"/>
          <w:szCs w:val="26"/>
        </w:rPr>
        <w:t>atement</w:t>
      </w:r>
      <w:r w:rsidRPr="00E951F4">
        <w:rPr>
          <w:color w:val="000000"/>
          <w:sz w:val="26"/>
          <w:szCs w:val="26"/>
        </w:rPr>
        <w:t xml:space="preserve"> in Support at</w:t>
      </w:r>
      <w:r w:rsidR="00586B02">
        <w:rPr>
          <w:color w:val="000000"/>
          <w:sz w:val="26"/>
          <w:szCs w:val="26"/>
        </w:rPr>
        <w:t> </w:t>
      </w:r>
      <w:r w:rsidRPr="00E951F4">
        <w:rPr>
          <w:color w:val="000000"/>
          <w:sz w:val="26"/>
          <w:szCs w:val="26"/>
        </w:rPr>
        <w:t>12; OCA St</w:t>
      </w:r>
      <w:r w:rsidR="00A51721" w:rsidRPr="00E951F4">
        <w:rPr>
          <w:color w:val="000000"/>
          <w:sz w:val="26"/>
          <w:szCs w:val="26"/>
        </w:rPr>
        <w:t>atement</w:t>
      </w:r>
      <w:r w:rsidRPr="00E951F4">
        <w:rPr>
          <w:color w:val="000000"/>
          <w:sz w:val="26"/>
          <w:szCs w:val="26"/>
        </w:rPr>
        <w:t xml:space="preserve"> in Support at 6.</w:t>
      </w:r>
    </w:p>
    <w:p w14:paraId="0A992F74" w14:textId="77777777" w:rsidR="00D940A1" w:rsidRPr="00E951F4" w:rsidRDefault="00D940A1" w:rsidP="00E951F4">
      <w:pPr>
        <w:widowControl/>
        <w:spacing w:line="360" w:lineRule="auto"/>
        <w:ind w:firstLine="1440"/>
        <w:contextualSpacing/>
        <w:textAlignment w:val="baseline"/>
        <w:rPr>
          <w:color w:val="000000"/>
          <w:sz w:val="26"/>
          <w:szCs w:val="26"/>
        </w:rPr>
      </w:pPr>
    </w:p>
    <w:p w14:paraId="31BE1A28" w14:textId="5C8E06DA" w:rsidR="00D940A1" w:rsidRPr="00E951F4" w:rsidRDefault="00D940A1" w:rsidP="00E951F4">
      <w:pPr>
        <w:widowControl/>
        <w:spacing w:line="360" w:lineRule="auto"/>
        <w:ind w:firstLine="1440"/>
        <w:contextualSpacing/>
        <w:textAlignment w:val="baseline"/>
        <w:rPr>
          <w:color w:val="000000"/>
          <w:sz w:val="26"/>
          <w:szCs w:val="26"/>
        </w:rPr>
      </w:pPr>
      <w:r w:rsidRPr="00E951F4">
        <w:rPr>
          <w:color w:val="000000"/>
          <w:sz w:val="26"/>
          <w:szCs w:val="26"/>
        </w:rPr>
        <w:t>Finally, Duquesne Light addressed its proposal to continue to recover its administrative costs for HPS service through a Fixed Retail Administrative Charge.  Specifically, Duquesne Light noted that its witness, Mr. Ogden, supported the proposal to continue to include only the implementation of ongoing annual costs in the price billed to HPS customers.  Duquesne Light St</w:t>
      </w:r>
      <w:r w:rsidR="00A51721" w:rsidRPr="00E951F4">
        <w:rPr>
          <w:color w:val="000000"/>
          <w:sz w:val="26"/>
          <w:szCs w:val="26"/>
        </w:rPr>
        <w:t>atement</w:t>
      </w:r>
      <w:r w:rsidRPr="00E951F4">
        <w:rPr>
          <w:color w:val="000000"/>
          <w:sz w:val="26"/>
          <w:szCs w:val="26"/>
        </w:rPr>
        <w:t xml:space="preserve"> in Support at 12-13 (citing Duquesne Light St. 4 at 13).  Duquesne Light added that none of the Parties challenged this proposal.  Duquesne Light St</w:t>
      </w:r>
      <w:r w:rsidR="00A51721" w:rsidRPr="00E951F4">
        <w:rPr>
          <w:color w:val="000000"/>
          <w:sz w:val="26"/>
          <w:szCs w:val="26"/>
        </w:rPr>
        <w:t>atement</w:t>
      </w:r>
      <w:r w:rsidRPr="00E951F4">
        <w:rPr>
          <w:color w:val="000000"/>
          <w:sz w:val="26"/>
          <w:szCs w:val="26"/>
        </w:rPr>
        <w:t xml:space="preserve"> in Support at 13.</w:t>
      </w:r>
    </w:p>
    <w:p w14:paraId="64FE4007" w14:textId="77777777" w:rsidR="00D940A1" w:rsidRPr="00E951F4" w:rsidRDefault="00D940A1" w:rsidP="00E951F4">
      <w:pPr>
        <w:widowControl/>
        <w:autoSpaceDE w:val="0"/>
        <w:autoSpaceDN w:val="0"/>
        <w:spacing w:line="360" w:lineRule="auto"/>
        <w:contextualSpacing/>
        <w:rPr>
          <w:sz w:val="26"/>
          <w:szCs w:val="26"/>
        </w:rPr>
      </w:pPr>
    </w:p>
    <w:p w14:paraId="08EB4209" w14:textId="77777777" w:rsidR="00D940A1" w:rsidRPr="00E951F4" w:rsidRDefault="00D940A1" w:rsidP="00E951F4">
      <w:pPr>
        <w:pStyle w:val="Heading3"/>
      </w:pPr>
      <w:bookmarkStart w:id="29" w:name="_Toc59620124"/>
      <w:bookmarkStart w:id="30" w:name="_Toc60912020"/>
      <w:r w:rsidRPr="00E951F4">
        <w:t>Purchase of Receivables (POR)</w:t>
      </w:r>
      <w:bookmarkEnd w:id="29"/>
      <w:bookmarkEnd w:id="30"/>
    </w:p>
    <w:p w14:paraId="4450FF8D" w14:textId="77777777" w:rsidR="00D940A1" w:rsidRPr="00E951F4" w:rsidRDefault="00D940A1" w:rsidP="00E951F4">
      <w:pPr>
        <w:keepNext/>
        <w:keepLines/>
        <w:widowControl/>
        <w:autoSpaceDE w:val="0"/>
        <w:autoSpaceDN w:val="0"/>
        <w:spacing w:line="360" w:lineRule="auto"/>
        <w:ind w:left="1440"/>
        <w:contextualSpacing/>
        <w:rPr>
          <w:b/>
          <w:bCs/>
          <w:sz w:val="26"/>
          <w:szCs w:val="26"/>
        </w:rPr>
      </w:pPr>
    </w:p>
    <w:p w14:paraId="7268AB79" w14:textId="77777777" w:rsidR="00D940A1" w:rsidRPr="00E951F4" w:rsidRDefault="00D940A1" w:rsidP="00E951F4">
      <w:pPr>
        <w:keepNext/>
        <w:keepLines/>
        <w:widowControl/>
        <w:autoSpaceDE w:val="0"/>
        <w:autoSpaceDN w:val="0"/>
        <w:spacing w:line="360" w:lineRule="auto"/>
        <w:ind w:firstLine="1440"/>
        <w:rPr>
          <w:sz w:val="26"/>
          <w:szCs w:val="26"/>
        </w:rPr>
      </w:pPr>
      <w:r w:rsidRPr="00E951F4">
        <w:rPr>
          <w:sz w:val="26"/>
          <w:szCs w:val="26"/>
        </w:rPr>
        <w:t xml:space="preserve">The terms and conditions of the “POR” Section D. of the Partial Settlement are set forth verbatim below, with the original paragraph numbers maintained: </w:t>
      </w:r>
    </w:p>
    <w:p w14:paraId="34872656" w14:textId="77777777" w:rsidR="00D940A1" w:rsidRPr="00E951F4" w:rsidRDefault="00D940A1" w:rsidP="00586B02">
      <w:pPr>
        <w:widowControl/>
        <w:autoSpaceDE w:val="0"/>
        <w:autoSpaceDN w:val="0"/>
        <w:ind w:left="1440"/>
        <w:contextualSpacing/>
        <w:rPr>
          <w:b/>
          <w:bCs/>
          <w:sz w:val="26"/>
          <w:szCs w:val="26"/>
        </w:rPr>
      </w:pPr>
    </w:p>
    <w:p w14:paraId="3FD681F1" w14:textId="77777777" w:rsidR="00D940A1" w:rsidRPr="00E951F4" w:rsidRDefault="00D940A1" w:rsidP="00E951F4">
      <w:pPr>
        <w:keepNext/>
        <w:keepLines/>
        <w:widowControl/>
        <w:numPr>
          <w:ilvl w:val="0"/>
          <w:numId w:val="16"/>
        </w:numPr>
        <w:ind w:left="1440" w:right="1440"/>
        <w:rPr>
          <w:sz w:val="26"/>
          <w:szCs w:val="26"/>
        </w:rPr>
      </w:pPr>
      <w:bookmarkStart w:id="31" w:name="_Hlk58425906"/>
      <w:r w:rsidRPr="00E951F4">
        <w:rPr>
          <w:sz w:val="26"/>
          <w:szCs w:val="26"/>
        </w:rPr>
        <w:t>Duquesne Light’s proposal to continue its POR program for Residential, Small C&amp;I, and Medium C&amp;I customers set forth in paragraph 67 of the Petition is approved.</w:t>
      </w:r>
    </w:p>
    <w:p w14:paraId="2343C615" w14:textId="77777777" w:rsidR="00D940A1" w:rsidRPr="00E951F4" w:rsidRDefault="00D940A1" w:rsidP="00E951F4">
      <w:pPr>
        <w:keepNext/>
        <w:widowControl/>
        <w:autoSpaceDE w:val="0"/>
        <w:autoSpaceDN w:val="0"/>
        <w:spacing w:line="360" w:lineRule="auto"/>
        <w:contextualSpacing/>
        <w:rPr>
          <w:b/>
          <w:bCs/>
          <w:sz w:val="26"/>
          <w:szCs w:val="26"/>
        </w:rPr>
      </w:pPr>
    </w:p>
    <w:p w14:paraId="7A12CAB3" w14:textId="71C611DC" w:rsidR="00D940A1" w:rsidRPr="00E951F4" w:rsidRDefault="00D940A1" w:rsidP="00E951F4">
      <w:pPr>
        <w:keepNext/>
        <w:widowControl/>
        <w:autoSpaceDE w:val="0"/>
        <w:autoSpaceDN w:val="0"/>
        <w:spacing w:line="360" w:lineRule="auto"/>
        <w:rPr>
          <w:sz w:val="26"/>
          <w:szCs w:val="26"/>
        </w:rPr>
      </w:pPr>
      <w:r w:rsidRPr="00E951F4">
        <w:rPr>
          <w:sz w:val="26"/>
          <w:szCs w:val="26"/>
        </w:rPr>
        <w:t xml:space="preserve">Partial Settlement ¶ 44, at 13.  </w:t>
      </w:r>
    </w:p>
    <w:p w14:paraId="3DF72246" w14:textId="77777777" w:rsidR="00D940A1" w:rsidRPr="00E951F4" w:rsidRDefault="00D940A1" w:rsidP="00E951F4">
      <w:pPr>
        <w:widowControl/>
        <w:autoSpaceDE w:val="0"/>
        <w:autoSpaceDN w:val="0"/>
        <w:spacing w:line="360" w:lineRule="auto"/>
        <w:rPr>
          <w:sz w:val="26"/>
          <w:szCs w:val="26"/>
        </w:rPr>
      </w:pPr>
    </w:p>
    <w:p w14:paraId="4CEAAAF9" w14:textId="6F0C9E06" w:rsidR="00D940A1" w:rsidRPr="00E951F4" w:rsidRDefault="00D940A1" w:rsidP="00586B02">
      <w:pPr>
        <w:widowControl/>
        <w:spacing w:line="360" w:lineRule="auto"/>
        <w:ind w:firstLine="1440"/>
        <w:contextualSpacing/>
        <w:textAlignment w:val="baseline"/>
        <w:rPr>
          <w:color w:val="000000"/>
          <w:sz w:val="26"/>
          <w:szCs w:val="26"/>
        </w:rPr>
      </w:pPr>
      <w:r w:rsidRPr="00E951F4">
        <w:rPr>
          <w:sz w:val="26"/>
          <w:szCs w:val="26"/>
        </w:rPr>
        <w:t xml:space="preserve">Duquesne Light explained that it currently engages in activities that support retail competition, including the administration of a POR program.  Duquesne Light elaborated that, under the POR program, it agrees to purchase the accounts receivable, without recourse, associated with </w:t>
      </w:r>
      <w:r w:rsidR="009C41F0" w:rsidRPr="00E951F4">
        <w:rPr>
          <w:sz w:val="26"/>
          <w:szCs w:val="26"/>
        </w:rPr>
        <w:t xml:space="preserve">the </w:t>
      </w:r>
      <w:r w:rsidRPr="00E951F4">
        <w:rPr>
          <w:sz w:val="26"/>
          <w:szCs w:val="26"/>
        </w:rPr>
        <w:t>EGS</w:t>
      </w:r>
      <w:r w:rsidR="009C41F0" w:rsidRPr="00E951F4">
        <w:rPr>
          <w:sz w:val="26"/>
          <w:szCs w:val="26"/>
        </w:rPr>
        <w:t>’</w:t>
      </w:r>
      <w:r w:rsidRPr="00E951F4">
        <w:rPr>
          <w:sz w:val="26"/>
          <w:szCs w:val="26"/>
        </w:rPr>
        <w:t xml:space="preserve"> sales of retail electric commodity services to </w:t>
      </w:r>
      <w:r w:rsidRPr="00E951F4">
        <w:rPr>
          <w:sz w:val="26"/>
          <w:szCs w:val="26"/>
        </w:rPr>
        <w:lastRenderedPageBreak/>
        <w:t xml:space="preserve">Residential, Small C&amp;I and Medium C&amp;I customers within Duquesne Light’s service territory.  </w:t>
      </w:r>
      <w:bookmarkStart w:id="32" w:name="_Hlk58515681"/>
      <w:r w:rsidRPr="00E951F4">
        <w:rPr>
          <w:sz w:val="26"/>
          <w:szCs w:val="26"/>
        </w:rPr>
        <w:t>Duquesne Light St</w:t>
      </w:r>
      <w:r w:rsidR="005D6C6D" w:rsidRPr="00E951F4">
        <w:rPr>
          <w:sz w:val="26"/>
          <w:szCs w:val="26"/>
        </w:rPr>
        <w:t>atement</w:t>
      </w:r>
      <w:r w:rsidRPr="00E951F4">
        <w:rPr>
          <w:sz w:val="26"/>
          <w:szCs w:val="26"/>
        </w:rPr>
        <w:t xml:space="preserve"> in Support at 13 (citing Duquesne Light St. 4 at 25).  </w:t>
      </w:r>
      <w:r w:rsidRPr="00E951F4">
        <w:rPr>
          <w:color w:val="000000"/>
          <w:sz w:val="26"/>
          <w:szCs w:val="26"/>
        </w:rPr>
        <w:t>Duquesne Light added that none of the Parties challenged this proposal.  Duquesne Light St</w:t>
      </w:r>
      <w:r w:rsidR="005D6C6D" w:rsidRPr="00E951F4">
        <w:rPr>
          <w:color w:val="000000"/>
          <w:sz w:val="26"/>
          <w:szCs w:val="26"/>
        </w:rPr>
        <w:t>atement</w:t>
      </w:r>
      <w:r w:rsidRPr="00E951F4">
        <w:rPr>
          <w:color w:val="000000"/>
          <w:sz w:val="26"/>
          <w:szCs w:val="26"/>
        </w:rPr>
        <w:t xml:space="preserve"> in Support at 13.</w:t>
      </w:r>
    </w:p>
    <w:bookmarkEnd w:id="32"/>
    <w:p w14:paraId="61AE009A" w14:textId="77777777" w:rsidR="00D940A1" w:rsidRPr="00E951F4" w:rsidRDefault="00D940A1" w:rsidP="00586B02">
      <w:pPr>
        <w:widowControl/>
        <w:autoSpaceDE w:val="0"/>
        <w:autoSpaceDN w:val="0"/>
        <w:spacing w:line="360" w:lineRule="auto"/>
        <w:ind w:firstLine="1440"/>
        <w:contextualSpacing/>
        <w:rPr>
          <w:sz w:val="26"/>
          <w:szCs w:val="26"/>
        </w:rPr>
      </w:pPr>
    </w:p>
    <w:p w14:paraId="6B59EE3B" w14:textId="77777777" w:rsidR="00D940A1" w:rsidRPr="00E951F4" w:rsidRDefault="00D940A1" w:rsidP="00586B02">
      <w:pPr>
        <w:pStyle w:val="Heading3"/>
      </w:pPr>
      <w:bookmarkStart w:id="33" w:name="_Toc59620125"/>
      <w:bookmarkStart w:id="34" w:name="_Toc60912021"/>
      <w:bookmarkStart w:id="35" w:name="_Hlk58426344"/>
      <w:bookmarkEnd w:id="31"/>
      <w:r w:rsidRPr="00E951F4">
        <w:t>Recovery of Net-Metered Excess Generation Costs</w:t>
      </w:r>
      <w:bookmarkEnd w:id="33"/>
      <w:bookmarkEnd w:id="34"/>
    </w:p>
    <w:bookmarkEnd w:id="35"/>
    <w:p w14:paraId="741548EA" w14:textId="77777777" w:rsidR="00D940A1" w:rsidRPr="00E951F4" w:rsidRDefault="00D940A1" w:rsidP="00586B02">
      <w:pPr>
        <w:keepNext/>
        <w:keepLines/>
        <w:widowControl/>
        <w:autoSpaceDE w:val="0"/>
        <w:autoSpaceDN w:val="0"/>
        <w:spacing w:line="360" w:lineRule="auto"/>
        <w:contextualSpacing/>
        <w:rPr>
          <w:b/>
          <w:bCs/>
          <w:sz w:val="26"/>
          <w:szCs w:val="26"/>
        </w:rPr>
      </w:pPr>
    </w:p>
    <w:p w14:paraId="6F9B2008" w14:textId="77777777" w:rsidR="00D940A1" w:rsidRPr="00E951F4" w:rsidRDefault="00D940A1" w:rsidP="00586B02">
      <w:pPr>
        <w:keepNext/>
        <w:keepLines/>
        <w:widowControl/>
        <w:autoSpaceDE w:val="0"/>
        <w:autoSpaceDN w:val="0"/>
        <w:spacing w:line="360" w:lineRule="auto"/>
        <w:ind w:firstLine="1440"/>
        <w:rPr>
          <w:sz w:val="26"/>
          <w:szCs w:val="26"/>
        </w:rPr>
      </w:pPr>
      <w:r w:rsidRPr="00E951F4">
        <w:rPr>
          <w:sz w:val="26"/>
          <w:szCs w:val="26"/>
        </w:rPr>
        <w:t xml:space="preserve">The terms and conditions of the “Recovery of Net-Metered Excess Generation Costs” Section E. of the Partial Settlement are set forth verbatim below, with the original paragraph numbers maintained: </w:t>
      </w:r>
    </w:p>
    <w:p w14:paraId="2D28C9D2" w14:textId="77777777" w:rsidR="00D940A1" w:rsidRPr="00E951F4" w:rsidRDefault="00D940A1" w:rsidP="00586B02">
      <w:pPr>
        <w:widowControl/>
        <w:autoSpaceDE w:val="0"/>
        <w:autoSpaceDN w:val="0"/>
        <w:contextualSpacing/>
        <w:rPr>
          <w:b/>
          <w:bCs/>
          <w:sz w:val="26"/>
          <w:szCs w:val="26"/>
        </w:rPr>
      </w:pPr>
    </w:p>
    <w:p w14:paraId="10D33AF5" w14:textId="70EAC12C" w:rsidR="00D940A1" w:rsidRPr="00E951F4" w:rsidRDefault="00D940A1" w:rsidP="00E951F4">
      <w:pPr>
        <w:keepNext/>
        <w:keepLines/>
        <w:widowControl/>
        <w:numPr>
          <w:ilvl w:val="0"/>
          <w:numId w:val="16"/>
        </w:numPr>
        <w:ind w:left="1440" w:right="1440"/>
        <w:rPr>
          <w:sz w:val="26"/>
          <w:szCs w:val="26"/>
        </w:rPr>
      </w:pPr>
      <w:r w:rsidRPr="00E951F4">
        <w:rPr>
          <w:sz w:val="26"/>
          <w:szCs w:val="26"/>
        </w:rPr>
        <w:t>Duquesne Light’s proposal for the Recovery of Net-Metered Excess Generation Costs set forth in paragraphs 73</w:t>
      </w:r>
      <w:r w:rsidR="00586B02">
        <w:rPr>
          <w:sz w:val="26"/>
          <w:szCs w:val="26"/>
        </w:rPr>
        <w:noBreakHyphen/>
      </w:r>
      <w:r w:rsidRPr="00E951F4">
        <w:rPr>
          <w:sz w:val="26"/>
          <w:szCs w:val="26"/>
        </w:rPr>
        <w:t>76 of the Petition is approved without modification.</w:t>
      </w:r>
    </w:p>
    <w:p w14:paraId="12898F4A" w14:textId="77777777" w:rsidR="00D940A1" w:rsidRPr="00E951F4" w:rsidRDefault="00D940A1" w:rsidP="00E951F4">
      <w:pPr>
        <w:widowControl/>
        <w:tabs>
          <w:tab w:val="left" w:pos="648"/>
        </w:tabs>
        <w:ind w:left="1440" w:right="1440"/>
        <w:rPr>
          <w:sz w:val="26"/>
          <w:szCs w:val="26"/>
        </w:rPr>
      </w:pPr>
    </w:p>
    <w:p w14:paraId="424ACBE5" w14:textId="5FB4AB22" w:rsidR="00D940A1" w:rsidRPr="00E951F4" w:rsidRDefault="00D940A1" w:rsidP="00E951F4">
      <w:pPr>
        <w:keepNext/>
        <w:keepLines/>
        <w:widowControl/>
        <w:numPr>
          <w:ilvl w:val="0"/>
          <w:numId w:val="16"/>
        </w:numPr>
        <w:ind w:left="1440" w:right="1440"/>
        <w:rPr>
          <w:sz w:val="26"/>
          <w:szCs w:val="26"/>
        </w:rPr>
      </w:pPr>
      <w:r w:rsidRPr="00E951F4">
        <w:rPr>
          <w:sz w:val="26"/>
          <w:szCs w:val="26"/>
        </w:rPr>
        <w:t>Duquesne Light will be permitted to recover these payments for generation as an expense in the respective default service class over/under collection calculation within the Company's Rider No. 8 — DSS and Appendix A — Transmission Service Charge 1307(e) reconciliations</w:t>
      </w:r>
      <w:r w:rsidR="00132AA3" w:rsidRPr="00E951F4">
        <w:rPr>
          <w:sz w:val="26"/>
          <w:szCs w:val="26"/>
        </w:rPr>
        <w:t>.</w:t>
      </w:r>
    </w:p>
    <w:p w14:paraId="4A7CEB01" w14:textId="77777777" w:rsidR="00D940A1" w:rsidRPr="00E951F4" w:rsidRDefault="00D940A1" w:rsidP="00E951F4">
      <w:pPr>
        <w:keepNext/>
        <w:widowControl/>
        <w:autoSpaceDE w:val="0"/>
        <w:autoSpaceDN w:val="0"/>
        <w:spacing w:line="360" w:lineRule="auto"/>
        <w:contextualSpacing/>
        <w:rPr>
          <w:b/>
          <w:bCs/>
          <w:sz w:val="26"/>
          <w:szCs w:val="26"/>
        </w:rPr>
      </w:pPr>
    </w:p>
    <w:p w14:paraId="355064E6" w14:textId="474176E9" w:rsidR="00D940A1" w:rsidRPr="00E951F4" w:rsidRDefault="00D940A1" w:rsidP="00E951F4">
      <w:pPr>
        <w:keepNext/>
        <w:widowControl/>
        <w:autoSpaceDE w:val="0"/>
        <w:autoSpaceDN w:val="0"/>
        <w:spacing w:line="360" w:lineRule="auto"/>
        <w:rPr>
          <w:sz w:val="26"/>
          <w:szCs w:val="26"/>
        </w:rPr>
      </w:pPr>
      <w:r w:rsidRPr="00E951F4">
        <w:rPr>
          <w:sz w:val="26"/>
          <w:szCs w:val="26"/>
        </w:rPr>
        <w:t xml:space="preserve">Partial Settlement ¶¶ 45-46, at 13.  </w:t>
      </w:r>
    </w:p>
    <w:p w14:paraId="683B95BB" w14:textId="77777777" w:rsidR="00D940A1" w:rsidRPr="00E951F4" w:rsidRDefault="00D940A1" w:rsidP="00E951F4">
      <w:pPr>
        <w:widowControl/>
        <w:autoSpaceDE w:val="0"/>
        <w:autoSpaceDN w:val="0"/>
        <w:spacing w:line="360" w:lineRule="auto"/>
        <w:rPr>
          <w:sz w:val="26"/>
          <w:szCs w:val="26"/>
        </w:rPr>
      </w:pPr>
    </w:p>
    <w:p w14:paraId="50EC2064" w14:textId="64C85D0C" w:rsidR="00D940A1" w:rsidRPr="00E951F4" w:rsidRDefault="00D940A1" w:rsidP="00E951F4">
      <w:pPr>
        <w:widowControl/>
        <w:spacing w:line="360" w:lineRule="auto"/>
        <w:ind w:firstLine="1440"/>
        <w:contextualSpacing/>
        <w:textAlignment w:val="baseline"/>
        <w:rPr>
          <w:color w:val="000000"/>
          <w:sz w:val="26"/>
          <w:szCs w:val="26"/>
        </w:rPr>
      </w:pPr>
      <w:r w:rsidRPr="00E951F4">
        <w:rPr>
          <w:sz w:val="26"/>
          <w:szCs w:val="26"/>
        </w:rPr>
        <w:t>Duquesne Light explained that, effective with the DSP IX, it is proposing to recover the cash-out payment for net-metering customers to recoup the customer class compensation (</w:t>
      </w:r>
      <w:r w:rsidRPr="00E951F4">
        <w:rPr>
          <w:i/>
          <w:iCs/>
          <w:sz w:val="26"/>
          <w:szCs w:val="26"/>
        </w:rPr>
        <w:t>i.e.</w:t>
      </w:r>
      <w:r w:rsidRPr="00E951F4">
        <w:rPr>
          <w:sz w:val="26"/>
          <w:szCs w:val="26"/>
        </w:rPr>
        <w:t>, excess kilowatt hours multiplied by Duquesne Light’s PTC on May</w:t>
      </w:r>
      <w:r w:rsidR="00586B02">
        <w:rPr>
          <w:sz w:val="26"/>
          <w:szCs w:val="26"/>
        </w:rPr>
        <w:t> </w:t>
      </w:r>
      <w:r w:rsidRPr="00E951F4">
        <w:rPr>
          <w:sz w:val="26"/>
          <w:szCs w:val="26"/>
        </w:rPr>
        <w:t>31) as an expense in the respective default service class over/under collection calculation.  Duquesne Light St</w:t>
      </w:r>
      <w:r w:rsidR="00285C31" w:rsidRPr="00E951F4">
        <w:rPr>
          <w:sz w:val="26"/>
          <w:szCs w:val="26"/>
        </w:rPr>
        <w:t>atement</w:t>
      </w:r>
      <w:r w:rsidRPr="00E951F4">
        <w:rPr>
          <w:sz w:val="26"/>
          <w:szCs w:val="26"/>
        </w:rPr>
        <w:t xml:space="preserve"> in Support at 14 (citing Duquesne Light St. 4 at</w:t>
      </w:r>
      <w:r w:rsidR="00586B02">
        <w:rPr>
          <w:sz w:val="26"/>
          <w:szCs w:val="26"/>
        </w:rPr>
        <w:t> </w:t>
      </w:r>
      <w:r w:rsidRPr="00E951F4">
        <w:rPr>
          <w:sz w:val="26"/>
          <w:szCs w:val="26"/>
        </w:rPr>
        <w:t xml:space="preserve">27-28).  </w:t>
      </w:r>
      <w:r w:rsidRPr="00E951F4">
        <w:rPr>
          <w:color w:val="000000"/>
          <w:sz w:val="26"/>
          <w:szCs w:val="26"/>
        </w:rPr>
        <w:t>Duquesne Light added that none of the Parties contested this proposal.  Duquesne Light St</w:t>
      </w:r>
      <w:r w:rsidR="00285C31" w:rsidRPr="00E951F4">
        <w:rPr>
          <w:color w:val="000000"/>
          <w:sz w:val="26"/>
          <w:szCs w:val="26"/>
        </w:rPr>
        <w:t>atement</w:t>
      </w:r>
      <w:r w:rsidRPr="00E951F4">
        <w:rPr>
          <w:color w:val="000000"/>
          <w:sz w:val="26"/>
          <w:szCs w:val="26"/>
        </w:rPr>
        <w:t xml:space="preserve"> in Support at 14.</w:t>
      </w:r>
    </w:p>
    <w:p w14:paraId="0DA38708" w14:textId="77777777" w:rsidR="00D940A1" w:rsidRPr="00E951F4" w:rsidRDefault="00D940A1" w:rsidP="00E951F4">
      <w:pPr>
        <w:widowControl/>
        <w:autoSpaceDE w:val="0"/>
        <w:autoSpaceDN w:val="0"/>
        <w:spacing w:line="360" w:lineRule="auto"/>
        <w:contextualSpacing/>
        <w:rPr>
          <w:sz w:val="26"/>
          <w:szCs w:val="26"/>
        </w:rPr>
      </w:pPr>
    </w:p>
    <w:p w14:paraId="557FE432" w14:textId="77777777" w:rsidR="00D940A1" w:rsidRPr="00E951F4" w:rsidRDefault="00D940A1" w:rsidP="00E951F4">
      <w:pPr>
        <w:pStyle w:val="Heading3"/>
      </w:pPr>
      <w:bookmarkStart w:id="36" w:name="_Toc59620126"/>
      <w:bookmarkStart w:id="37" w:name="_Toc60912022"/>
      <w:r w:rsidRPr="00E951F4">
        <w:lastRenderedPageBreak/>
        <w:t>Bill Redesign</w:t>
      </w:r>
      <w:bookmarkEnd w:id="36"/>
      <w:bookmarkEnd w:id="37"/>
    </w:p>
    <w:p w14:paraId="26622509" w14:textId="77777777" w:rsidR="00D940A1" w:rsidRPr="00E951F4" w:rsidRDefault="00D940A1" w:rsidP="00E951F4">
      <w:pPr>
        <w:keepNext/>
        <w:keepLines/>
        <w:widowControl/>
        <w:autoSpaceDE w:val="0"/>
        <w:autoSpaceDN w:val="0"/>
        <w:spacing w:line="360" w:lineRule="auto"/>
        <w:contextualSpacing/>
        <w:rPr>
          <w:b/>
          <w:bCs/>
          <w:sz w:val="26"/>
          <w:szCs w:val="26"/>
        </w:rPr>
      </w:pPr>
    </w:p>
    <w:p w14:paraId="1E33A011" w14:textId="77777777" w:rsidR="00D940A1" w:rsidRPr="00E951F4" w:rsidRDefault="00D940A1" w:rsidP="00E951F4">
      <w:pPr>
        <w:keepNext/>
        <w:keepLines/>
        <w:widowControl/>
        <w:autoSpaceDE w:val="0"/>
        <w:autoSpaceDN w:val="0"/>
        <w:spacing w:line="360" w:lineRule="auto"/>
        <w:ind w:firstLine="1440"/>
        <w:rPr>
          <w:sz w:val="26"/>
          <w:szCs w:val="26"/>
        </w:rPr>
      </w:pPr>
      <w:bookmarkStart w:id="38" w:name="_Hlk58426906"/>
      <w:r w:rsidRPr="00E951F4">
        <w:rPr>
          <w:sz w:val="26"/>
          <w:szCs w:val="26"/>
        </w:rPr>
        <w:t xml:space="preserve">The terms and conditions of the “Bill Redesign” Section F. of the Partial Settlement are set forth verbatim below, with the original paragraph numbers maintained: </w:t>
      </w:r>
    </w:p>
    <w:p w14:paraId="3D905ED4" w14:textId="77777777" w:rsidR="00D940A1" w:rsidRPr="00E951F4" w:rsidRDefault="00D940A1" w:rsidP="00586B02">
      <w:pPr>
        <w:widowControl/>
        <w:autoSpaceDE w:val="0"/>
        <w:autoSpaceDN w:val="0"/>
        <w:contextualSpacing/>
        <w:rPr>
          <w:b/>
          <w:bCs/>
          <w:sz w:val="26"/>
          <w:szCs w:val="26"/>
        </w:rPr>
      </w:pPr>
    </w:p>
    <w:p w14:paraId="6692BCC3" w14:textId="3DE812C4" w:rsidR="00D940A1" w:rsidRPr="00E951F4" w:rsidRDefault="00D940A1" w:rsidP="00E951F4">
      <w:pPr>
        <w:keepNext/>
        <w:keepLines/>
        <w:widowControl/>
        <w:autoSpaceDE w:val="0"/>
        <w:autoSpaceDN w:val="0"/>
        <w:ind w:left="1440" w:right="1440"/>
        <w:contextualSpacing/>
        <w:rPr>
          <w:sz w:val="26"/>
          <w:szCs w:val="26"/>
        </w:rPr>
      </w:pPr>
      <w:bookmarkStart w:id="39" w:name="_Hlk58426457"/>
      <w:r w:rsidRPr="00E951F4">
        <w:rPr>
          <w:sz w:val="26"/>
          <w:szCs w:val="26"/>
        </w:rPr>
        <w:t>47.</w:t>
      </w:r>
      <w:r w:rsidRPr="00E951F4">
        <w:rPr>
          <w:sz w:val="26"/>
          <w:szCs w:val="26"/>
        </w:rPr>
        <w:tab/>
        <w:t xml:space="preserve">With respect to the recommendations made by CAUSE-PA witness </w:t>
      </w:r>
      <w:r w:rsidR="00D96E0B" w:rsidRPr="00E951F4">
        <w:rPr>
          <w:sz w:val="26"/>
          <w:szCs w:val="26"/>
        </w:rPr>
        <w:t xml:space="preserve"> [Mr. Harry Geller]</w:t>
      </w:r>
      <w:r w:rsidRPr="00E951F4">
        <w:rPr>
          <w:sz w:val="26"/>
          <w:szCs w:val="26"/>
        </w:rPr>
        <w:t xml:space="preserve"> on page 53, lines 13</w:t>
      </w:r>
      <w:r w:rsidR="00586B02">
        <w:rPr>
          <w:sz w:val="26"/>
          <w:szCs w:val="26"/>
        </w:rPr>
        <w:noBreakHyphen/>
      </w:r>
      <w:r w:rsidRPr="00E951F4">
        <w:rPr>
          <w:sz w:val="26"/>
          <w:szCs w:val="26"/>
        </w:rPr>
        <w:t>21 and page 59, lines 15-21 of CAUSE-PA Statement No.</w:t>
      </w:r>
      <w:r w:rsidR="00586B02">
        <w:rPr>
          <w:sz w:val="26"/>
          <w:szCs w:val="26"/>
        </w:rPr>
        <w:t> </w:t>
      </w:r>
      <w:r w:rsidRPr="00E951F4">
        <w:rPr>
          <w:sz w:val="26"/>
          <w:szCs w:val="26"/>
        </w:rPr>
        <w:t>1, Duquesne Light will consider these recommendations as a part of Duquesne Light</w:t>
      </w:r>
      <w:r w:rsidR="00251C69" w:rsidRPr="00E951F4">
        <w:rPr>
          <w:sz w:val="26"/>
          <w:szCs w:val="26"/>
        </w:rPr>
        <w:t>’</w:t>
      </w:r>
      <w:r w:rsidRPr="00E951F4">
        <w:rPr>
          <w:sz w:val="26"/>
          <w:szCs w:val="26"/>
        </w:rPr>
        <w:t>s ongoing bill redesign initiatives.</w:t>
      </w:r>
    </w:p>
    <w:p w14:paraId="26606533" w14:textId="77777777" w:rsidR="00D940A1" w:rsidRPr="00E951F4" w:rsidRDefault="00D940A1" w:rsidP="00586B02">
      <w:pPr>
        <w:keepNext/>
        <w:widowControl/>
        <w:autoSpaceDE w:val="0"/>
        <w:autoSpaceDN w:val="0"/>
        <w:spacing w:line="360" w:lineRule="auto"/>
        <w:ind w:left="1440" w:right="1440"/>
        <w:contextualSpacing/>
        <w:rPr>
          <w:sz w:val="26"/>
          <w:szCs w:val="26"/>
        </w:rPr>
      </w:pPr>
    </w:p>
    <w:p w14:paraId="5B171FA1" w14:textId="21455B13" w:rsidR="00D940A1" w:rsidRPr="00E951F4" w:rsidRDefault="00D940A1" w:rsidP="00E951F4">
      <w:pPr>
        <w:keepNext/>
        <w:widowControl/>
        <w:autoSpaceDE w:val="0"/>
        <w:autoSpaceDN w:val="0"/>
        <w:spacing w:line="360" w:lineRule="auto"/>
        <w:contextualSpacing/>
        <w:rPr>
          <w:sz w:val="26"/>
          <w:szCs w:val="26"/>
        </w:rPr>
      </w:pPr>
      <w:r w:rsidRPr="00E951F4">
        <w:rPr>
          <w:sz w:val="26"/>
          <w:szCs w:val="26"/>
        </w:rPr>
        <w:t xml:space="preserve">Partial Settlement ¶ 47, at 13.  </w:t>
      </w:r>
    </w:p>
    <w:p w14:paraId="212555FB" w14:textId="77777777" w:rsidR="00D940A1" w:rsidRPr="00E951F4" w:rsidRDefault="00D940A1" w:rsidP="00E951F4">
      <w:pPr>
        <w:widowControl/>
        <w:autoSpaceDE w:val="0"/>
        <w:autoSpaceDN w:val="0"/>
        <w:spacing w:line="360" w:lineRule="auto"/>
        <w:contextualSpacing/>
        <w:rPr>
          <w:sz w:val="26"/>
          <w:szCs w:val="26"/>
        </w:rPr>
      </w:pPr>
    </w:p>
    <w:p w14:paraId="306046A4" w14:textId="19A96DB5" w:rsidR="00D940A1" w:rsidRPr="00E951F4" w:rsidRDefault="00D940A1" w:rsidP="00E951F4">
      <w:pPr>
        <w:widowControl/>
        <w:autoSpaceDE w:val="0"/>
        <w:autoSpaceDN w:val="0"/>
        <w:spacing w:line="360" w:lineRule="auto"/>
        <w:ind w:firstLine="1440"/>
        <w:contextualSpacing/>
        <w:rPr>
          <w:sz w:val="26"/>
          <w:szCs w:val="26"/>
        </w:rPr>
      </w:pPr>
      <w:r w:rsidRPr="00E951F4">
        <w:rPr>
          <w:sz w:val="26"/>
          <w:szCs w:val="26"/>
        </w:rPr>
        <w:t>Duquesne Light noted that CAUSE-PA made several recommendations regarding Duquesne Light’s bill design.  Duquesne Light explained that it was already in the process of redesigning its bill, to simplify the presentation of billing information and to enable “next-generation bill messaging and targeting” that is not currently available.  Duquesne Light St</w:t>
      </w:r>
      <w:r w:rsidR="00887C83" w:rsidRPr="00E951F4">
        <w:rPr>
          <w:sz w:val="26"/>
          <w:szCs w:val="26"/>
        </w:rPr>
        <w:t>atement</w:t>
      </w:r>
      <w:r w:rsidRPr="00E951F4">
        <w:rPr>
          <w:sz w:val="26"/>
          <w:szCs w:val="26"/>
        </w:rPr>
        <w:t xml:space="preserve"> in Support at 14-15 (citing Duquesne Light St. 5-R at 37; CAUSE-PA St. 1 at 53, 59).  Duquesne Light elaborated that the new bills will clearly display the PTC to facilitate the “at-a-glance” customer comparison of the PTC to an EGS’s rates.  Duquesne Light St</w:t>
      </w:r>
      <w:r w:rsidR="00887C83" w:rsidRPr="00E951F4">
        <w:rPr>
          <w:sz w:val="26"/>
          <w:szCs w:val="26"/>
        </w:rPr>
        <w:t>atement</w:t>
      </w:r>
      <w:r w:rsidRPr="00E951F4">
        <w:rPr>
          <w:sz w:val="26"/>
          <w:szCs w:val="26"/>
        </w:rPr>
        <w:t xml:space="preserve"> in Support at 15 (citing Duquesne Light St. 5-R at 37).  Duquesne Light contended that some of CAUSE-PA’s recommendations may be incompatible with the specific billing type (</w:t>
      </w:r>
      <w:r w:rsidRPr="00E951F4">
        <w:rPr>
          <w:i/>
          <w:iCs/>
          <w:sz w:val="26"/>
          <w:szCs w:val="26"/>
        </w:rPr>
        <w:t>i.e.</w:t>
      </w:r>
      <w:r w:rsidRPr="00E951F4">
        <w:rPr>
          <w:sz w:val="26"/>
          <w:szCs w:val="26"/>
        </w:rPr>
        <w:t>, bill-ready vs. rate-ready) or that CAUSE</w:t>
      </w:r>
      <w:r w:rsidR="00586B02">
        <w:rPr>
          <w:sz w:val="26"/>
          <w:szCs w:val="26"/>
        </w:rPr>
        <w:noBreakHyphen/>
      </w:r>
      <w:r w:rsidRPr="00E951F4">
        <w:rPr>
          <w:sz w:val="26"/>
          <w:szCs w:val="26"/>
        </w:rPr>
        <w:t>PA’s concerns are already addressed by Duquesne Light’s existing tariff.  Duquesne Light St</w:t>
      </w:r>
      <w:r w:rsidR="00887C83" w:rsidRPr="00E951F4">
        <w:rPr>
          <w:sz w:val="26"/>
          <w:szCs w:val="26"/>
        </w:rPr>
        <w:t>atement</w:t>
      </w:r>
      <w:r w:rsidRPr="00E951F4">
        <w:rPr>
          <w:sz w:val="26"/>
          <w:szCs w:val="26"/>
        </w:rPr>
        <w:t xml:space="preserve"> in Support at 15 (citing Duquesne Light St. 5-R at 37-41).  Duquesne Light concluded by noting that this provision reflects a reasonable compromise and ultimately allows for Duquesne Light to consider and implement billing design changes that benefit customers.  Duquesne Light St</w:t>
      </w:r>
      <w:r w:rsidR="00887C83" w:rsidRPr="00E951F4">
        <w:rPr>
          <w:sz w:val="26"/>
          <w:szCs w:val="26"/>
        </w:rPr>
        <w:t>atement</w:t>
      </w:r>
      <w:r w:rsidRPr="00E951F4">
        <w:rPr>
          <w:sz w:val="26"/>
          <w:szCs w:val="26"/>
        </w:rPr>
        <w:t xml:space="preserve"> in Support at 15.  </w:t>
      </w:r>
    </w:p>
    <w:p w14:paraId="169C8035" w14:textId="77777777" w:rsidR="00A179EC" w:rsidRPr="00E951F4" w:rsidRDefault="00A179EC" w:rsidP="00E951F4">
      <w:pPr>
        <w:widowControl/>
        <w:autoSpaceDE w:val="0"/>
        <w:autoSpaceDN w:val="0"/>
        <w:spacing w:line="360" w:lineRule="auto"/>
        <w:ind w:firstLine="1440"/>
        <w:contextualSpacing/>
        <w:rPr>
          <w:sz w:val="26"/>
          <w:szCs w:val="26"/>
        </w:rPr>
      </w:pPr>
    </w:p>
    <w:p w14:paraId="4D2020F3" w14:textId="77777777" w:rsidR="00D940A1" w:rsidRPr="00E951F4" w:rsidRDefault="00D940A1" w:rsidP="00E951F4">
      <w:pPr>
        <w:pStyle w:val="Heading3"/>
      </w:pPr>
      <w:bookmarkStart w:id="40" w:name="_Toc59620127"/>
      <w:bookmarkStart w:id="41" w:name="_Toc60912023"/>
      <w:bookmarkEnd w:id="38"/>
      <w:bookmarkEnd w:id="39"/>
      <w:r w:rsidRPr="00E951F4">
        <w:lastRenderedPageBreak/>
        <w:t>Bill Presentment of Residential Bill-Ready EGS Charges</w:t>
      </w:r>
      <w:bookmarkEnd w:id="40"/>
      <w:bookmarkEnd w:id="41"/>
    </w:p>
    <w:p w14:paraId="649CF4C0" w14:textId="77777777" w:rsidR="00D940A1" w:rsidRPr="00E951F4" w:rsidRDefault="00D940A1" w:rsidP="00E951F4">
      <w:pPr>
        <w:keepNext/>
        <w:keepLines/>
        <w:widowControl/>
        <w:autoSpaceDE w:val="0"/>
        <w:autoSpaceDN w:val="0"/>
        <w:spacing w:line="360" w:lineRule="auto"/>
        <w:contextualSpacing/>
        <w:rPr>
          <w:b/>
          <w:bCs/>
          <w:sz w:val="26"/>
          <w:szCs w:val="26"/>
        </w:rPr>
      </w:pPr>
    </w:p>
    <w:p w14:paraId="746647DB" w14:textId="77777777" w:rsidR="00D940A1" w:rsidRPr="00E951F4" w:rsidRDefault="00D940A1" w:rsidP="00E951F4">
      <w:pPr>
        <w:keepNext/>
        <w:keepLines/>
        <w:widowControl/>
        <w:autoSpaceDE w:val="0"/>
        <w:autoSpaceDN w:val="0"/>
        <w:spacing w:line="360" w:lineRule="auto"/>
        <w:ind w:firstLine="1440"/>
        <w:rPr>
          <w:sz w:val="26"/>
          <w:szCs w:val="26"/>
        </w:rPr>
      </w:pPr>
      <w:r w:rsidRPr="00E951F4">
        <w:rPr>
          <w:sz w:val="26"/>
          <w:szCs w:val="26"/>
        </w:rPr>
        <w:t xml:space="preserve">The terms and conditions of the “Bill Presentment of Residential Bill-Ready EGS Charges” Section G. of the Partial Settlement are set forth verbatim below, with the original paragraph numbers maintained: </w:t>
      </w:r>
    </w:p>
    <w:p w14:paraId="12DFA229" w14:textId="77777777" w:rsidR="00D940A1" w:rsidRPr="00E951F4" w:rsidRDefault="00D940A1" w:rsidP="00586B02">
      <w:pPr>
        <w:widowControl/>
        <w:autoSpaceDE w:val="0"/>
        <w:autoSpaceDN w:val="0"/>
        <w:contextualSpacing/>
        <w:rPr>
          <w:b/>
          <w:bCs/>
          <w:sz w:val="26"/>
          <w:szCs w:val="26"/>
        </w:rPr>
      </w:pPr>
    </w:p>
    <w:p w14:paraId="285CAD47" w14:textId="77267063" w:rsidR="00D940A1" w:rsidRPr="00E951F4" w:rsidRDefault="00D940A1" w:rsidP="00E951F4">
      <w:pPr>
        <w:keepNext/>
        <w:keepLines/>
        <w:widowControl/>
        <w:autoSpaceDE w:val="0"/>
        <w:autoSpaceDN w:val="0"/>
        <w:ind w:left="1440" w:right="1440"/>
        <w:rPr>
          <w:sz w:val="26"/>
          <w:szCs w:val="26"/>
        </w:rPr>
      </w:pPr>
      <w:bookmarkStart w:id="42" w:name="_Hlk58426792"/>
      <w:r w:rsidRPr="00E951F4">
        <w:rPr>
          <w:sz w:val="26"/>
          <w:szCs w:val="26"/>
        </w:rPr>
        <w:t>48.</w:t>
      </w:r>
      <w:r w:rsidRPr="00E951F4">
        <w:rPr>
          <w:sz w:val="26"/>
          <w:szCs w:val="26"/>
        </w:rPr>
        <w:tab/>
        <w:t>Duquesne Light</w:t>
      </w:r>
      <w:r w:rsidR="0036775C" w:rsidRPr="00E951F4">
        <w:rPr>
          <w:sz w:val="26"/>
          <w:szCs w:val="26"/>
        </w:rPr>
        <w:t>’</w:t>
      </w:r>
      <w:r w:rsidRPr="00E951F4">
        <w:rPr>
          <w:sz w:val="26"/>
          <w:szCs w:val="26"/>
        </w:rPr>
        <w:t>s bills for consolidated-billed residential EGS customers taking basic supply service will clearly display the PTC, as well as basic supply charges in actual dollars or cents per kWh, average dollars or cents per kWh, and/or flat monthly charge(s).</w:t>
      </w:r>
    </w:p>
    <w:bookmarkEnd w:id="42"/>
    <w:p w14:paraId="067040FB" w14:textId="77777777" w:rsidR="00D940A1" w:rsidRPr="00E951F4" w:rsidRDefault="00D940A1" w:rsidP="00E951F4">
      <w:pPr>
        <w:widowControl/>
        <w:autoSpaceDE w:val="0"/>
        <w:autoSpaceDN w:val="0"/>
        <w:ind w:left="1440" w:right="1440"/>
        <w:rPr>
          <w:sz w:val="26"/>
          <w:szCs w:val="26"/>
        </w:rPr>
      </w:pPr>
    </w:p>
    <w:p w14:paraId="1B799BE7" w14:textId="6C993797" w:rsidR="00D940A1" w:rsidRPr="00E951F4" w:rsidRDefault="00D940A1" w:rsidP="00E951F4">
      <w:pPr>
        <w:keepNext/>
        <w:keepLines/>
        <w:widowControl/>
        <w:numPr>
          <w:ilvl w:val="0"/>
          <w:numId w:val="17"/>
        </w:numPr>
        <w:autoSpaceDE w:val="0"/>
        <w:autoSpaceDN w:val="0"/>
        <w:ind w:left="1440" w:right="1440"/>
        <w:rPr>
          <w:sz w:val="26"/>
          <w:szCs w:val="26"/>
        </w:rPr>
      </w:pPr>
      <w:r w:rsidRPr="00E951F4">
        <w:rPr>
          <w:sz w:val="26"/>
          <w:szCs w:val="26"/>
        </w:rPr>
        <w:t>Rule 12.1.6 of Duquesne Light</w:t>
      </w:r>
      <w:r w:rsidR="00B75747" w:rsidRPr="00E951F4">
        <w:rPr>
          <w:sz w:val="26"/>
          <w:szCs w:val="26"/>
        </w:rPr>
        <w:t>’</w:t>
      </w:r>
      <w:r w:rsidRPr="00E951F4">
        <w:rPr>
          <w:sz w:val="26"/>
          <w:szCs w:val="26"/>
        </w:rPr>
        <w:t>s Supplier Coordination Tariff shall be revised to state as follows, reflecting the addition of the bolded and underlined language:</w:t>
      </w:r>
    </w:p>
    <w:p w14:paraId="235EA1AB" w14:textId="77777777" w:rsidR="00D940A1" w:rsidRPr="00E951F4" w:rsidRDefault="00D940A1" w:rsidP="00E951F4">
      <w:pPr>
        <w:widowControl/>
        <w:autoSpaceDE w:val="0"/>
        <w:autoSpaceDN w:val="0"/>
        <w:ind w:left="1440" w:right="1440"/>
        <w:rPr>
          <w:sz w:val="26"/>
          <w:szCs w:val="26"/>
        </w:rPr>
      </w:pPr>
    </w:p>
    <w:p w14:paraId="006CF22B" w14:textId="77777777" w:rsidR="00D940A1" w:rsidRPr="00E951F4" w:rsidRDefault="00D940A1" w:rsidP="00E951F4">
      <w:pPr>
        <w:keepNext/>
        <w:keepLines/>
        <w:widowControl/>
        <w:autoSpaceDE w:val="0"/>
        <w:autoSpaceDN w:val="0"/>
        <w:ind w:left="1440" w:right="1440" w:firstLine="720"/>
        <w:rPr>
          <w:sz w:val="26"/>
          <w:szCs w:val="26"/>
        </w:rPr>
      </w:pPr>
      <w:r w:rsidRPr="00E951F4">
        <w:rPr>
          <w:sz w:val="26"/>
          <w:szCs w:val="26"/>
        </w:rPr>
        <w:t>12.1.6 EGS BILLING DATA</w:t>
      </w:r>
    </w:p>
    <w:p w14:paraId="6E931550" w14:textId="77777777" w:rsidR="00D940A1" w:rsidRPr="00E951F4" w:rsidRDefault="00D940A1" w:rsidP="00E951F4">
      <w:pPr>
        <w:keepNext/>
        <w:keepLines/>
        <w:widowControl/>
        <w:autoSpaceDE w:val="0"/>
        <w:autoSpaceDN w:val="0"/>
        <w:ind w:left="1440" w:right="1440" w:firstLine="720"/>
        <w:rPr>
          <w:sz w:val="26"/>
          <w:szCs w:val="26"/>
        </w:rPr>
      </w:pPr>
    </w:p>
    <w:p w14:paraId="1BA59906" w14:textId="77777777" w:rsidR="00D940A1" w:rsidRPr="00E951F4" w:rsidRDefault="00D940A1" w:rsidP="00E951F4">
      <w:pPr>
        <w:keepNext/>
        <w:keepLines/>
        <w:widowControl/>
        <w:autoSpaceDE w:val="0"/>
        <w:autoSpaceDN w:val="0"/>
        <w:ind w:left="2160" w:right="1440"/>
        <w:rPr>
          <w:sz w:val="26"/>
          <w:szCs w:val="26"/>
        </w:rPr>
      </w:pPr>
      <w:r w:rsidRPr="00E951F4">
        <w:rPr>
          <w:sz w:val="26"/>
          <w:szCs w:val="26"/>
        </w:rPr>
        <w:t xml:space="preserve">The EGS shall provide all necessary data in its possession for the timely computation of bills. </w:t>
      </w:r>
      <w:r w:rsidRPr="00E951F4">
        <w:rPr>
          <w:sz w:val="26"/>
          <w:szCs w:val="26"/>
          <w:u w:val="single"/>
        </w:rPr>
        <w:t>Where the EGS uses bill-ready billing for residential customers taking basic electric supply service, the EGS shall provide electric supply charges in actual dollars or cents per kWh, average dollars or cents per kWh, and/or flat monthly charge(s).</w:t>
      </w:r>
      <w:r w:rsidRPr="00E951F4">
        <w:rPr>
          <w:sz w:val="26"/>
          <w:szCs w:val="26"/>
        </w:rPr>
        <w:t xml:space="preserve"> A failure of the EGS to provide necessary data to the Company in a timely fashion may delay generation of a bill for the month to which the data pertains. In such instances, the EGS is responsible for all fines and violations, if any, arising as a consequence of the Company's inability to render a timely bill.</w:t>
      </w:r>
    </w:p>
    <w:p w14:paraId="3AEC3D0B" w14:textId="77777777" w:rsidR="00D940A1" w:rsidRPr="00E951F4" w:rsidRDefault="00D940A1" w:rsidP="00E951F4">
      <w:pPr>
        <w:widowControl/>
        <w:autoSpaceDE w:val="0"/>
        <w:autoSpaceDN w:val="0"/>
        <w:ind w:left="1440" w:right="1440"/>
        <w:rPr>
          <w:sz w:val="26"/>
          <w:szCs w:val="26"/>
        </w:rPr>
      </w:pPr>
    </w:p>
    <w:p w14:paraId="13EE9BE0" w14:textId="19523DB8" w:rsidR="00D940A1" w:rsidRPr="00E951F4" w:rsidRDefault="00D940A1" w:rsidP="00E951F4">
      <w:pPr>
        <w:keepNext/>
        <w:keepLines/>
        <w:widowControl/>
        <w:autoSpaceDE w:val="0"/>
        <w:autoSpaceDN w:val="0"/>
        <w:ind w:left="1440" w:right="1440"/>
        <w:rPr>
          <w:sz w:val="26"/>
          <w:szCs w:val="26"/>
        </w:rPr>
      </w:pPr>
      <w:r w:rsidRPr="00E951F4">
        <w:rPr>
          <w:sz w:val="26"/>
          <w:szCs w:val="26"/>
        </w:rPr>
        <w:t>50.</w:t>
      </w:r>
      <w:r w:rsidRPr="00E951F4">
        <w:rPr>
          <w:sz w:val="26"/>
          <w:szCs w:val="26"/>
        </w:rPr>
        <w:tab/>
        <w:t>Revised Rule 12.1.6 of Duquesne Light</w:t>
      </w:r>
      <w:r w:rsidR="00134627" w:rsidRPr="00E951F4">
        <w:rPr>
          <w:sz w:val="26"/>
          <w:szCs w:val="26"/>
        </w:rPr>
        <w:t>’</w:t>
      </w:r>
      <w:r w:rsidRPr="00E951F4">
        <w:rPr>
          <w:sz w:val="26"/>
          <w:szCs w:val="26"/>
        </w:rPr>
        <w:t>s Supplier Coordination Tariff is included in Appendices A-B to the Unopposed Partial Settlement.</w:t>
      </w:r>
    </w:p>
    <w:p w14:paraId="43DEA1CA" w14:textId="77777777" w:rsidR="00D940A1" w:rsidRPr="00E951F4" w:rsidRDefault="00D940A1" w:rsidP="00586B02">
      <w:pPr>
        <w:keepNext/>
        <w:widowControl/>
        <w:autoSpaceDE w:val="0"/>
        <w:autoSpaceDN w:val="0"/>
        <w:spacing w:line="360" w:lineRule="auto"/>
        <w:ind w:left="1440" w:right="1440"/>
        <w:rPr>
          <w:sz w:val="26"/>
          <w:szCs w:val="26"/>
        </w:rPr>
      </w:pPr>
    </w:p>
    <w:p w14:paraId="4EF18BD0" w14:textId="6D02CD62" w:rsidR="00D940A1" w:rsidRPr="00E951F4" w:rsidRDefault="00D940A1" w:rsidP="00E951F4">
      <w:pPr>
        <w:keepNext/>
        <w:widowControl/>
        <w:autoSpaceDE w:val="0"/>
        <w:autoSpaceDN w:val="0"/>
        <w:spacing w:line="360" w:lineRule="auto"/>
        <w:contextualSpacing/>
        <w:rPr>
          <w:sz w:val="26"/>
          <w:szCs w:val="26"/>
        </w:rPr>
      </w:pPr>
      <w:r w:rsidRPr="00E951F4">
        <w:rPr>
          <w:sz w:val="26"/>
          <w:szCs w:val="26"/>
        </w:rPr>
        <w:t xml:space="preserve">Partial Settlement ¶¶ 48-50, at 13-14.  </w:t>
      </w:r>
    </w:p>
    <w:p w14:paraId="238D84B4" w14:textId="77777777" w:rsidR="00D940A1" w:rsidRPr="00E951F4" w:rsidRDefault="00D940A1" w:rsidP="00E951F4">
      <w:pPr>
        <w:widowControl/>
        <w:autoSpaceDE w:val="0"/>
        <w:autoSpaceDN w:val="0"/>
        <w:spacing w:line="360" w:lineRule="auto"/>
        <w:contextualSpacing/>
        <w:rPr>
          <w:sz w:val="26"/>
          <w:szCs w:val="26"/>
        </w:rPr>
      </w:pPr>
    </w:p>
    <w:p w14:paraId="521F086A" w14:textId="046A3D3E" w:rsidR="008144A8" w:rsidRPr="00E951F4" w:rsidRDefault="00D940A1" w:rsidP="00E951F4">
      <w:pPr>
        <w:widowControl/>
        <w:autoSpaceDE w:val="0"/>
        <w:autoSpaceDN w:val="0"/>
        <w:spacing w:line="360" w:lineRule="auto"/>
        <w:ind w:firstLine="1440"/>
        <w:contextualSpacing/>
        <w:rPr>
          <w:sz w:val="26"/>
          <w:szCs w:val="26"/>
        </w:rPr>
      </w:pPr>
      <w:r w:rsidRPr="00E951F4">
        <w:rPr>
          <w:sz w:val="26"/>
          <w:szCs w:val="26"/>
        </w:rPr>
        <w:lastRenderedPageBreak/>
        <w:t>Duquesne Light noted that both the OCA and CAUSE-PA raised concerns pertaining to bill-ready billing, asserting that customers need to be able to compare their current supply price with the PTC, regardless of whether the customer’s supplier delivers bill-ready or rate-ready charges to Duquesne Light.  Duquesne Light St</w:t>
      </w:r>
      <w:r w:rsidR="00134627" w:rsidRPr="00E951F4">
        <w:rPr>
          <w:sz w:val="26"/>
          <w:szCs w:val="26"/>
        </w:rPr>
        <w:t>atement</w:t>
      </w:r>
      <w:r w:rsidRPr="00E951F4">
        <w:rPr>
          <w:sz w:val="26"/>
          <w:szCs w:val="26"/>
        </w:rPr>
        <w:t xml:space="preserve"> in Support at 16 (citing OCA St. 2 at 5; CAUSE-PA St. 1 at 53).  Duquesne Light explained that, although Rule 12.1.1 of its Supplier Coordination Tariff requires </w:t>
      </w:r>
      <w:r w:rsidR="00167D62" w:rsidRPr="00E951F4">
        <w:rPr>
          <w:sz w:val="26"/>
          <w:szCs w:val="26"/>
        </w:rPr>
        <w:t xml:space="preserve">the </w:t>
      </w:r>
      <w:r w:rsidRPr="00E951F4">
        <w:rPr>
          <w:sz w:val="26"/>
          <w:szCs w:val="26"/>
        </w:rPr>
        <w:t xml:space="preserve">EGSs using consolidated billing to employ pricing plans based on fixed and variable charges that are similar to those it employs for billing distribution service and default service, Duquesne Light proposed to further clarify its tariff to ensure that these pricing plans are clearly represented on customer bills.  Duquesne Light asserted that this proposal maintains </w:t>
      </w:r>
      <w:r w:rsidR="00167D62" w:rsidRPr="00E951F4">
        <w:rPr>
          <w:sz w:val="26"/>
          <w:szCs w:val="26"/>
        </w:rPr>
        <w:t xml:space="preserve">the </w:t>
      </w:r>
      <w:r w:rsidRPr="00E951F4">
        <w:rPr>
          <w:sz w:val="26"/>
          <w:szCs w:val="26"/>
        </w:rPr>
        <w:t>EGS</w:t>
      </w:r>
      <w:r w:rsidR="00167D62" w:rsidRPr="00E951F4">
        <w:rPr>
          <w:sz w:val="26"/>
          <w:szCs w:val="26"/>
        </w:rPr>
        <w:t>’</w:t>
      </w:r>
      <w:r w:rsidRPr="00E951F4">
        <w:rPr>
          <w:sz w:val="26"/>
          <w:szCs w:val="26"/>
        </w:rPr>
        <w:t xml:space="preserve"> flexibility to offer innovative pricing structures through bill-ready billing, while ensuring that the pricing structures are clearly communicated to customers.  Duquesne Light St</w:t>
      </w:r>
      <w:r w:rsidR="00F5496D" w:rsidRPr="00E951F4">
        <w:rPr>
          <w:sz w:val="26"/>
          <w:szCs w:val="26"/>
        </w:rPr>
        <w:t>atement</w:t>
      </w:r>
      <w:r w:rsidRPr="00E951F4">
        <w:rPr>
          <w:sz w:val="26"/>
          <w:szCs w:val="26"/>
        </w:rPr>
        <w:t xml:space="preserve"> in Support at 16 (citing Duquesne Light St. 5-SR at 7-8).</w:t>
      </w:r>
    </w:p>
    <w:p w14:paraId="7E2772A5" w14:textId="77777777" w:rsidR="00615D66" w:rsidRPr="00E951F4" w:rsidRDefault="00615D66" w:rsidP="00E951F4">
      <w:pPr>
        <w:widowControl/>
        <w:autoSpaceDE w:val="0"/>
        <w:autoSpaceDN w:val="0"/>
        <w:spacing w:line="360" w:lineRule="auto"/>
        <w:ind w:firstLine="1440"/>
        <w:contextualSpacing/>
        <w:rPr>
          <w:sz w:val="26"/>
          <w:szCs w:val="26"/>
        </w:rPr>
      </w:pPr>
    </w:p>
    <w:p w14:paraId="2B8E3B15" w14:textId="77777777" w:rsidR="000D0791" w:rsidRPr="00E951F4" w:rsidRDefault="000D0791" w:rsidP="00E951F4">
      <w:pPr>
        <w:pStyle w:val="Heading3"/>
      </w:pPr>
      <w:bookmarkStart w:id="43" w:name="_Toc59620128"/>
      <w:bookmarkStart w:id="44" w:name="_Toc60912024"/>
      <w:r w:rsidRPr="00E951F4">
        <w:t>Non-Basic Service Charges in Residential Bill-Ready EGS Charges</w:t>
      </w:r>
      <w:bookmarkEnd w:id="43"/>
      <w:bookmarkEnd w:id="44"/>
    </w:p>
    <w:p w14:paraId="0A7D6A33" w14:textId="77777777" w:rsidR="000D0791" w:rsidRPr="00E951F4" w:rsidRDefault="000D0791" w:rsidP="00E951F4">
      <w:pPr>
        <w:keepNext/>
        <w:keepLines/>
        <w:widowControl/>
        <w:autoSpaceDE w:val="0"/>
        <w:autoSpaceDN w:val="0"/>
        <w:spacing w:line="360" w:lineRule="auto"/>
        <w:contextualSpacing/>
        <w:rPr>
          <w:b/>
          <w:bCs/>
          <w:sz w:val="26"/>
          <w:szCs w:val="26"/>
        </w:rPr>
      </w:pPr>
    </w:p>
    <w:p w14:paraId="085FEAA4" w14:textId="77777777" w:rsidR="000D0791" w:rsidRPr="00E951F4" w:rsidRDefault="000D0791" w:rsidP="00E951F4">
      <w:pPr>
        <w:keepNext/>
        <w:keepLines/>
        <w:widowControl/>
        <w:autoSpaceDE w:val="0"/>
        <w:autoSpaceDN w:val="0"/>
        <w:spacing w:line="360" w:lineRule="auto"/>
        <w:ind w:firstLine="1440"/>
        <w:rPr>
          <w:sz w:val="26"/>
          <w:szCs w:val="26"/>
        </w:rPr>
      </w:pPr>
      <w:r w:rsidRPr="00E951F4">
        <w:rPr>
          <w:sz w:val="26"/>
          <w:szCs w:val="26"/>
        </w:rPr>
        <w:t xml:space="preserve">The terms and conditions of the “Non-Basic Service Charges in Residential Bill-Ready EGS Charges” Section H. of the Partial Settlement are set forth verbatim below, with the original paragraph numbers maintained: </w:t>
      </w:r>
    </w:p>
    <w:p w14:paraId="62B94D53" w14:textId="77777777" w:rsidR="000D0791" w:rsidRPr="00E951F4" w:rsidRDefault="000D0791" w:rsidP="00586B02">
      <w:pPr>
        <w:widowControl/>
        <w:autoSpaceDE w:val="0"/>
        <w:autoSpaceDN w:val="0"/>
        <w:contextualSpacing/>
        <w:rPr>
          <w:b/>
          <w:bCs/>
          <w:sz w:val="26"/>
          <w:szCs w:val="26"/>
        </w:rPr>
      </w:pPr>
    </w:p>
    <w:p w14:paraId="79D84862" w14:textId="77777777" w:rsidR="000D0791" w:rsidRPr="00E951F4" w:rsidRDefault="000D0791" w:rsidP="00E951F4">
      <w:pPr>
        <w:keepNext/>
        <w:keepLines/>
        <w:widowControl/>
        <w:autoSpaceDE w:val="0"/>
        <w:autoSpaceDN w:val="0"/>
        <w:ind w:left="1440" w:right="1440"/>
        <w:rPr>
          <w:sz w:val="26"/>
          <w:szCs w:val="26"/>
        </w:rPr>
      </w:pPr>
      <w:r w:rsidRPr="00E951F4">
        <w:rPr>
          <w:sz w:val="26"/>
          <w:szCs w:val="26"/>
        </w:rPr>
        <w:t>51.</w:t>
      </w:r>
      <w:r w:rsidRPr="00E951F4">
        <w:rPr>
          <w:sz w:val="26"/>
          <w:szCs w:val="26"/>
        </w:rPr>
        <w:tab/>
        <w:t>Duquesne Light's proposed revision to Rule 12.1.7 of its Supplier Coordination Tariff, as described at Duquesne Light Statement No. 5-R and set forth in bolded and underlined text below, is approved:</w:t>
      </w:r>
    </w:p>
    <w:p w14:paraId="795DD2A1" w14:textId="77777777" w:rsidR="000D0791" w:rsidRPr="00E951F4" w:rsidRDefault="000D0791" w:rsidP="00E951F4">
      <w:pPr>
        <w:widowControl/>
        <w:autoSpaceDE w:val="0"/>
        <w:autoSpaceDN w:val="0"/>
        <w:ind w:left="1440" w:right="1440"/>
        <w:rPr>
          <w:sz w:val="26"/>
          <w:szCs w:val="26"/>
        </w:rPr>
      </w:pPr>
    </w:p>
    <w:p w14:paraId="1F667495" w14:textId="77777777" w:rsidR="000D0791" w:rsidRPr="00E951F4" w:rsidRDefault="000D0791" w:rsidP="00E951F4">
      <w:pPr>
        <w:keepNext/>
        <w:keepLines/>
        <w:widowControl/>
        <w:spacing w:line="270" w:lineRule="exact"/>
        <w:ind w:left="2160" w:right="1440"/>
        <w:textAlignment w:val="baseline"/>
        <w:rPr>
          <w:color w:val="000000"/>
          <w:sz w:val="26"/>
          <w:szCs w:val="26"/>
        </w:rPr>
      </w:pPr>
      <w:r w:rsidRPr="00E951F4">
        <w:rPr>
          <w:color w:val="000000"/>
          <w:sz w:val="26"/>
          <w:szCs w:val="26"/>
        </w:rPr>
        <w:lastRenderedPageBreak/>
        <w:t>12.1.7 PURCHASE OF EGS RECEIVABLES (POR) PROGRAM</w:t>
      </w:r>
    </w:p>
    <w:p w14:paraId="389348FA" w14:textId="77777777" w:rsidR="000D0791" w:rsidRPr="00E951F4" w:rsidRDefault="000D0791" w:rsidP="00E951F4">
      <w:pPr>
        <w:keepNext/>
        <w:keepLines/>
        <w:widowControl/>
        <w:spacing w:line="270" w:lineRule="exact"/>
        <w:ind w:left="2160" w:right="1440"/>
        <w:textAlignment w:val="baseline"/>
        <w:rPr>
          <w:color w:val="000000"/>
          <w:sz w:val="26"/>
          <w:szCs w:val="26"/>
        </w:rPr>
      </w:pPr>
    </w:p>
    <w:p w14:paraId="0563784A" w14:textId="3E4EFBA3" w:rsidR="000D0791" w:rsidRPr="00E951F4" w:rsidRDefault="000D0791" w:rsidP="00E951F4">
      <w:pPr>
        <w:keepNext/>
        <w:keepLines/>
        <w:widowControl/>
        <w:spacing w:line="277" w:lineRule="exact"/>
        <w:ind w:left="2160" w:right="1440"/>
        <w:textAlignment w:val="baseline"/>
        <w:rPr>
          <w:color w:val="000000"/>
          <w:sz w:val="26"/>
          <w:szCs w:val="26"/>
        </w:rPr>
      </w:pPr>
      <w:r w:rsidRPr="00E951F4">
        <w:rPr>
          <w:color w:val="000000"/>
          <w:sz w:val="26"/>
          <w:szCs w:val="26"/>
        </w:rPr>
        <w:t>Duquesne will purchase the accounts receivable, without recourse, associated with EGS sales of retail electric commodity, comprised of generation and transmission services, to residential customers and commercial and industrial (</w:t>
      </w:r>
      <w:r w:rsidR="00874208" w:rsidRPr="00E951F4">
        <w:rPr>
          <w:color w:val="000000"/>
          <w:sz w:val="26"/>
          <w:szCs w:val="26"/>
        </w:rPr>
        <w:t>“</w:t>
      </w:r>
      <w:r w:rsidRPr="00E951F4">
        <w:rPr>
          <w:color w:val="000000"/>
          <w:sz w:val="26"/>
          <w:szCs w:val="26"/>
        </w:rPr>
        <w:t>C&amp;I</w:t>
      </w:r>
      <w:r w:rsidR="00874208" w:rsidRPr="00E951F4">
        <w:rPr>
          <w:color w:val="000000"/>
          <w:sz w:val="26"/>
          <w:szCs w:val="26"/>
        </w:rPr>
        <w:t>”</w:t>
      </w:r>
      <w:r w:rsidRPr="00E951F4">
        <w:rPr>
          <w:color w:val="000000"/>
          <w:sz w:val="26"/>
          <w:szCs w:val="26"/>
        </w:rPr>
        <w:t xml:space="preserve">) customers with monthly metered demand less than 300 kW within Duquesne's service territory.  Eligible customers are those customers taking delivery service under the Company's retail tariff Rate RS, RH, RA, GS/GM and GMH, and who purchase their electric commodity requirements from the EGS through consolidated billing with the Company.  </w:t>
      </w:r>
      <w:r w:rsidRPr="00E951F4">
        <w:rPr>
          <w:color w:val="000000"/>
          <w:sz w:val="26"/>
          <w:szCs w:val="26"/>
          <w:u w:val="single"/>
        </w:rPr>
        <w:t xml:space="preserve">Upon request, an EGS shall provide a written certification to Duquesne that the EGS is providing only basic electric supply to residential customers billed through consolidated billing with the Company. </w:t>
      </w:r>
    </w:p>
    <w:p w14:paraId="540A5DB6" w14:textId="77777777" w:rsidR="000D0791" w:rsidRPr="00E951F4" w:rsidRDefault="000D0791" w:rsidP="00E951F4">
      <w:pPr>
        <w:widowControl/>
        <w:autoSpaceDE w:val="0"/>
        <w:autoSpaceDN w:val="0"/>
        <w:ind w:left="1440" w:right="1440"/>
        <w:rPr>
          <w:sz w:val="26"/>
          <w:szCs w:val="26"/>
        </w:rPr>
      </w:pPr>
    </w:p>
    <w:p w14:paraId="2CB9FD1D" w14:textId="41D381A5" w:rsidR="000D0791" w:rsidRPr="00E951F4" w:rsidRDefault="000D0791" w:rsidP="00E951F4">
      <w:pPr>
        <w:keepNext/>
        <w:keepLines/>
        <w:widowControl/>
        <w:tabs>
          <w:tab w:val="left" w:pos="1440"/>
        </w:tabs>
        <w:ind w:left="1440" w:right="1440"/>
        <w:textAlignment w:val="baseline"/>
        <w:rPr>
          <w:color w:val="000000"/>
          <w:sz w:val="26"/>
          <w:szCs w:val="26"/>
        </w:rPr>
      </w:pPr>
      <w:r w:rsidRPr="00E951F4">
        <w:rPr>
          <w:color w:val="000000"/>
          <w:sz w:val="26"/>
          <w:szCs w:val="26"/>
        </w:rPr>
        <w:t>52.</w:t>
      </w:r>
      <w:r w:rsidRPr="00E951F4">
        <w:rPr>
          <w:color w:val="000000"/>
          <w:sz w:val="26"/>
          <w:szCs w:val="26"/>
        </w:rPr>
        <w:tab/>
        <w:t>Revised Rule 12.1.7 of Duquesne Light</w:t>
      </w:r>
      <w:r w:rsidR="00874208" w:rsidRPr="00E951F4">
        <w:rPr>
          <w:color w:val="000000"/>
          <w:sz w:val="26"/>
          <w:szCs w:val="26"/>
        </w:rPr>
        <w:t>’</w:t>
      </w:r>
      <w:r w:rsidRPr="00E951F4">
        <w:rPr>
          <w:color w:val="000000"/>
          <w:sz w:val="26"/>
          <w:szCs w:val="26"/>
        </w:rPr>
        <w:t>s Supplier Coordination Tariff is included in Appendices A-B to the Unopposed Partial Settlement.</w:t>
      </w:r>
    </w:p>
    <w:p w14:paraId="76300DE2" w14:textId="77777777" w:rsidR="000D0791" w:rsidRPr="00E951F4" w:rsidRDefault="000D0791" w:rsidP="00586B02">
      <w:pPr>
        <w:keepNext/>
        <w:widowControl/>
        <w:autoSpaceDE w:val="0"/>
        <w:autoSpaceDN w:val="0"/>
        <w:spacing w:line="360" w:lineRule="auto"/>
        <w:ind w:left="1440" w:right="1440"/>
        <w:contextualSpacing/>
        <w:rPr>
          <w:sz w:val="26"/>
          <w:szCs w:val="26"/>
        </w:rPr>
      </w:pPr>
    </w:p>
    <w:p w14:paraId="2C919AD4" w14:textId="25EB1516" w:rsidR="000D0791" w:rsidRPr="00E951F4" w:rsidRDefault="000D0791" w:rsidP="00E951F4">
      <w:pPr>
        <w:keepNext/>
        <w:widowControl/>
        <w:autoSpaceDE w:val="0"/>
        <w:autoSpaceDN w:val="0"/>
        <w:spacing w:line="360" w:lineRule="auto"/>
        <w:rPr>
          <w:sz w:val="26"/>
          <w:szCs w:val="26"/>
        </w:rPr>
      </w:pPr>
      <w:r w:rsidRPr="00E951F4">
        <w:rPr>
          <w:sz w:val="26"/>
          <w:szCs w:val="26"/>
        </w:rPr>
        <w:t xml:space="preserve">Partial Settlement ¶¶ 51-52, at 14-15.  </w:t>
      </w:r>
    </w:p>
    <w:p w14:paraId="68ED7714" w14:textId="77777777" w:rsidR="000D0791" w:rsidRPr="00E951F4" w:rsidRDefault="000D0791" w:rsidP="00E951F4">
      <w:pPr>
        <w:widowControl/>
        <w:autoSpaceDE w:val="0"/>
        <w:autoSpaceDN w:val="0"/>
        <w:spacing w:line="360" w:lineRule="auto"/>
        <w:rPr>
          <w:sz w:val="26"/>
          <w:szCs w:val="26"/>
        </w:rPr>
      </w:pPr>
    </w:p>
    <w:p w14:paraId="78FE1FB7" w14:textId="26A6B9E0" w:rsidR="000D0791" w:rsidRPr="00E951F4" w:rsidRDefault="000D0791" w:rsidP="00E951F4">
      <w:pPr>
        <w:widowControl/>
        <w:autoSpaceDE w:val="0"/>
        <w:autoSpaceDN w:val="0"/>
        <w:spacing w:line="360" w:lineRule="auto"/>
        <w:ind w:firstLine="1440"/>
        <w:contextualSpacing/>
        <w:rPr>
          <w:sz w:val="26"/>
          <w:szCs w:val="26"/>
        </w:rPr>
      </w:pPr>
      <w:r w:rsidRPr="00E951F4">
        <w:rPr>
          <w:sz w:val="26"/>
          <w:szCs w:val="26"/>
        </w:rPr>
        <w:t>Duquesne Light noted that CAUSE-PA raised concerns regarding non-basic charges that may be billed by a bill-ready EGS.  Duquesne Light St</w:t>
      </w:r>
      <w:r w:rsidR="000B5C10" w:rsidRPr="00E951F4">
        <w:rPr>
          <w:sz w:val="26"/>
          <w:szCs w:val="26"/>
        </w:rPr>
        <w:t>atement</w:t>
      </w:r>
      <w:r w:rsidRPr="00E951F4">
        <w:rPr>
          <w:sz w:val="26"/>
          <w:szCs w:val="26"/>
        </w:rPr>
        <w:t xml:space="preserve"> in Support at</w:t>
      </w:r>
      <w:r w:rsidR="00586B02">
        <w:rPr>
          <w:sz w:val="26"/>
          <w:szCs w:val="26"/>
        </w:rPr>
        <w:t> </w:t>
      </w:r>
      <w:r w:rsidRPr="00E951F4">
        <w:rPr>
          <w:sz w:val="26"/>
          <w:szCs w:val="26"/>
        </w:rPr>
        <w:t xml:space="preserve">17 (citing CAUSE-PA St. 1 at 55).  Duquesne Light explained that although it is not privy to contracts between customers and </w:t>
      </w:r>
      <w:r w:rsidR="00246D4B" w:rsidRPr="00E951F4">
        <w:rPr>
          <w:sz w:val="26"/>
          <w:szCs w:val="26"/>
        </w:rPr>
        <w:t xml:space="preserve">the </w:t>
      </w:r>
      <w:r w:rsidRPr="00E951F4">
        <w:rPr>
          <w:sz w:val="26"/>
          <w:szCs w:val="26"/>
        </w:rPr>
        <w:t xml:space="preserve">EGSs, Duquesne Light’s tariff prohibits the inclusion of non-basic charges in consolidated EGS bills to residential customers.  Duquesne Light asserted that it proposed to modify Rule 12.1.7 of its Supplier Coordination tariff to further enhance the enforceability of this requirement and for consistency with the requirements found in the supplier coordination tariffs of the </w:t>
      </w:r>
      <w:r w:rsidRPr="00E951F4">
        <w:rPr>
          <w:sz w:val="26"/>
          <w:szCs w:val="26"/>
        </w:rPr>
        <w:lastRenderedPageBreak/>
        <w:t>FirstEnergy Companies</w:t>
      </w:r>
      <w:r w:rsidR="006C258A" w:rsidRPr="00E951F4">
        <w:rPr>
          <w:rStyle w:val="FootnoteReference"/>
          <w:sz w:val="26"/>
          <w:szCs w:val="26"/>
        </w:rPr>
        <w:footnoteReference w:id="6"/>
      </w:r>
      <w:r w:rsidRPr="00E951F4">
        <w:rPr>
          <w:sz w:val="26"/>
          <w:szCs w:val="26"/>
        </w:rPr>
        <w:t xml:space="preserve"> and PECO.  Duquesne L</w:t>
      </w:r>
      <w:r w:rsidR="00693BA8" w:rsidRPr="00E951F4">
        <w:rPr>
          <w:sz w:val="26"/>
          <w:szCs w:val="26"/>
        </w:rPr>
        <w:t>ight</w:t>
      </w:r>
      <w:r w:rsidRPr="00E951F4">
        <w:rPr>
          <w:sz w:val="26"/>
          <w:szCs w:val="26"/>
        </w:rPr>
        <w:t xml:space="preserve"> St</w:t>
      </w:r>
      <w:r w:rsidR="00991B69" w:rsidRPr="00E951F4">
        <w:rPr>
          <w:sz w:val="26"/>
          <w:szCs w:val="26"/>
        </w:rPr>
        <w:t>atement</w:t>
      </w:r>
      <w:r w:rsidRPr="00E951F4">
        <w:rPr>
          <w:sz w:val="26"/>
          <w:szCs w:val="26"/>
        </w:rPr>
        <w:t xml:space="preserve"> in Support at 17-18 (citing Duquesne Light Exhs. DBO-3R and DBO-4R; Duquesne Light St. 5-R at 39-41).</w:t>
      </w:r>
    </w:p>
    <w:p w14:paraId="4813AD6F" w14:textId="4B38DA00" w:rsidR="000D0791" w:rsidRPr="00E951F4" w:rsidRDefault="000D0791" w:rsidP="00E951F4">
      <w:pPr>
        <w:widowControl/>
        <w:spacing w:line="360" w:lineRule="auto"/>
        <w:ind w:firstLine="1440"/>
        <w:contextualSpacing/>
        <w:rPr>
          <w:b/>
          <w:sz w:val="26"/>
          <w:szCs w:val="26"/>
        </w:rPr>
      </w:pPr>
    </w:p>
    <w:p w14:paraId="5F101714" w14:textId="0B18BA39" w:rsidR="00A179EC" w:rsidRPr="00E951F4" w:rsidRDefault="00BE74C0" w:rsidP="00586B02">
      <w:pPr>
        <w:widowControl/>
        <w:spacing w:line="360" w:lineRule="auto"/>
        <w:ind w:firstLine="1440"/>
        <w:contextualSpacing/>
        <w:rPr>
          <w:bCs/>
          <w:sz w:val="26"/>
          <w:szCs w:val="26"/>
        </w:rPr>
      </w:pPr>
      <w:r w:rsidRPr="00E951F4">
        <w:rPr>
          <w:bCs/>
          <w:sz w:val="26"/>
          <w:szCs w:val="26"/>
        </w:rPr>
        <w:t xml:space="preserve">The Partial Settlement also contained </w:t>
      </w:r>
      <w:r w:rsidR="00763E85" w:rsidRPr="00E951F4">
        <w:rPr>
          <w:bCs/>
          <w:sz w:val="26"/>
          <w:szCs w:val="26"/>
        </w:rPr>
        <w:t>Settlement Conditions.  The Joint Petitioners agree that the Partial Settlement was conditioned upon the Commission’s approval</w:t>
      </w:r>
      <w:r w:rsidR="009D5707" w:rsidRPr="00E951F4">
        <w:rPr>
          <w:bCs/>
          <w:sz w:val="26"/>
          <w:szCs w:val="26"/>
        </w:rPr>
        <w:t xml:space="preserve"> without modification.</w:t>
      </w:r>
      <w:r w:rsidR="00B004F7" w:rsidRPr="00E951F4">
        <w:rPr>
          <w:bCs/>
          <w:sz w:val="26"/>
          <w:szCs w:val="26"/>
        </w:rPr>
        <w:t xml:space="preserve">  </w:t>
      </w:r>
      <w:r w:rsidR="000F62C5" w:rsidRPr="00E951F4">
        <w:rPr>
          <w:bCs/>
          <w:sz w:val="26"/>
          <w:szCs w:val="26"/>
        </w:rPr>
        <w:t xml:space="preserve">If the Commission modifies the Partial Settlement, </w:t>
      </w:r>
      <w:r w:rsidR="008135A6" w:rsidRPr="00E951F4">
        <w:rPr>
          <w:bCs/>
          <w:sz w:val="26"/>
          <w:szCs w:val="26"/>
        </w:rPr>
        <w:t xml:space="preserve">any Joint Petitioner </w:t>
      </w:r>
      <w:r w:rsidR="00680BC1" w:rsidRPr="00E951F4">
        <w:rPr>
          <w:bCs/>
          <w:sz w:val="26"/>
          <w:szCs w:val="26"/>
        </w:rPr>
        <w:t xml:space="preserve">may elect to withdraw from the Partial Settlement </w:t>
      </w:r>
      <w:r w:rsidR="00A87234" w:rsidRPr="00E951F4">
        <w:rPr>
          <w:bCs/>
          <w:sz w:val="26"/>
          <w:szCs w:val="26"/>
        </w:rPr>
        <w:t xml:space="preserve">and </w:t>
      </w:r>
      <w:r w:rsidR="00B12A15" w:rsidRPr="00E951F4">
        <w:rPr>
          <w:bCs/>
          <w:sz w:val="26"/>
          <w:szCs w:val="26"/>
        </w:rPr>
        <w:t xml:space="preserve">proceed with litigation and, in such event, the Partial Settlement shall be void and </w:t>
      </w:r>
      <w:r w:rsidR="00E5618B" w:rsidRPr="00E951F4">
        <w:rPr>
          <w:bCs/>
          <w:sz w:val="26"/>
          <w:szCs w:val="26"/>
        </w:rPr>
        <w:t xml:space="preserve">of no effect. </w:t>
      </w:r>
      <w:r w:rsidR="001F4C47" w:rsidRPr="00E951F4">
        <w:rPr>
          <w:bCs/>
          <w:sz w:val="26"/>
          <w:szCs w:val="26"/>
        </w:rPr>
        <w:t xml:space="preserve"> Partial Settlement ¶ 54.</w:t>
      </w:r>
      <w:r w:rsidR="00E5618B" w:rsidRPr="00E951F4">
        <w:rPr>
          <w:bCs/>
          <w:sz w:val="26"/>
          <w:szCs w:val="26"/>
        </w:rPr>
        <w:t xml:space="preserve"> </w:t>
      </w:r>
      <w:r w:rsidR="001F4C47" w:rsidRPr="00E951F4">
        <w:rPr>
          <w:bCs/>
          <w:sz w:val="26"/>
          <w:szCs w:val="26"/>
        </w:rPr>
        <w:t xml:space="preserve"> </w:t>
      </w:r>
      <w:r w:rsidR="00E5618B" w:rsidRPr="00E951F4">
        <w:rPr>
          <w:bCs/>
          <w:sz w:val="26"/>
          <w:szCs w:val="26"/>
        </w:rPr>
        <w:t>Additionally, the</w:t>
      </w:r>
      <w:r w:rsidR="00824845" w:rsidRPr="00E951F4">
        <w:rPr>
          <w:bCs/>
          <w:sz w:val="26"/>
          <w:szCs w:val="26"/>
        </w:rPr>
        <w:t xml:space="preserve"> Partial Settlement is </w:t>
      </w:r>
      <w:r w:rsidR="00337842" w:rsidRPr="00E951F4">
        <w:rPr>
          <w:bCs/>
          <w:sz w:val="26"/>
          <w:szCs w:val="26"/>
        </w:rPr>
        <w:t xml:space="preserve">made without any admission against, or prejudice to, any </w:t>
      </w:r>
      <w:r w:rsidR="003528F3" w:rsidRPr="00E951F4">
        <w:rPr>
          <w:bCs/>
          <w:sz w:val="26"/>
          <w:szCs w:val="26"/>
        </w:rPr>
        <w:t xml:space="preserve">position that any Joint Petitioner may adopt in </w:t>
      </w:r>
      <w:r w:rsidR="00C33360" w:rsidRPr="00E951F4">
        <w:rPr>
          <w:bCs/>
          <w:sz w:val="26"/>
          <w:szCs w:val="26"/>
        </w:rPr>
        <w:t>the event of any subsequent litigation in this proceeding or in any other proceeding.</w:t>
      </w:r>
      <w:r w:rsidR="00824845" w:rsidRPr="00E951F4">
        <w:rPr>
          <w:bCs/>
          <w:sz w:val="26"/>
          <w:szCs w:val="26"/>
        </w:rPr>
        <w:t xml:space="preserve"> </w:t>
      </w:r>
      <w:r w:rsidR="00E5618B" w:rsidRPr="00E951F4">
        <w:rPr>
          <w:bCs/>
          <w:sz w:val="26"/>
          <w:szCs w:val="26"/>
        </w:rPr>
        <w:t xml:space="preserve"> </w:t>
      </w:r>
      <w:r w:rsidR="00304EE6" w:rsidRPr="00E951F4">
        <w:rPr>
          <w:bCs/>
          <w:sz w:val="26"/>
          <w:szCs w:val="26"/>
        </w:rPr>
        <w:t>Partial Settlement ¶ 55.</w:t>
      </w:r>
      <w:r w:rsidR="00A87234" w:rsidRPr="00E951F4">
        <w:rPr>
          <w:bCs/>
          <w:sz w:val="26"/>
          <w:szCs w:val="26"/>
        </w:rPr>
        <w:t xml:space="preserve"> </w:t>
      </w:r>
      <w:r w:rsidR="00680BC1" w:rsidRPr="00E951F4">
        <w:rPr>
          <w:bCs/>
          <w:sz w:val="26"/>
          <w:szCs w:val="26"/>
        </w:rPr>
        <w:t xml:space="preserve"> </w:t>
      </w:r>
    </w:p>
    <w:p w14:paraId="18B74E05" w14:textId="77777777" w:rsidR="00A179EC" w:rsidRPr="00E951F4" w:rsidRDefault="00A179EC" w:rsidP="00586B02">
      <w:pPr>
        <w:widowControl/>
        <w:spacing w:line="360" w:lineRule="auto"/>
        <w:ind w:firstLine="1440"/>
        <w:contextualSpacing/>
        <w:rPr>
          <w:b/>
          <w:sz w:val="26"/>
          <w:szCs w:val="26"/>
        </w:rPr>
      </w:pPr>
    </w:p>
    <w:p w14:paraId="7CD15047" w14:textId="1EB137AA" w:rsidR="00D940A1" w:rsidRPr="00E951F4" w:rsidRDefault="006842B8" w:rsidP="00586B02">
      <w:pPr>
        <w:pStyle w:val="Heading2"/>
        <w:spacing w:line="360" w:lineRule="auto"/>
      </w:pPr>
      <w:bookmarkStart w:id="45" w:name="_Toc59620129"/>
      <w:bookmarkStart w:id="46" w:name="_Toc60912025"/>
      <w:r w:rsidRPr="00E951F4">
        <w:t>B</w:t>
      </w:r>
      <w:r w:rsidR="00D940A1" w:rsidRPr="00E951F4">
        <w:t>.</w:t>
      </w:r>
      <w:r w:rsidR="00D940A1" w:rsidRPr="00E951F4">
        <w:tab/>
        <w:t>ALJ’s Recommendation</w:t>
      </w:r>
      <w:r w:rsidR="00571C69" w:rsidRPr="00E951F4">
        <w:t xml:space="preserve"> of the Partial Settlement</w:t>
      </w:r>
      <w:bookmarkEnd w:id="45"/>
      <w:bookmarkEnd w:id="46"/>
    </w:p>
    <w:p w14:paraId="05019C52" w14:textId="77777777" w:rsidR="00D940A1" w:rsidRPr="00E951F4" w:rsidRDefault="00D940A1" w:rsidP="00586B02">
      <w:pPr>
        <w:keepNext/>
        <w:keepLines/>
        <w:widowControl/>
        <w:spacing w:line="360" w:lineRule="auto"/>
        <w:contextualSpacing/>
        <w:rPr>
          <w:b/>
          <w:sz w:val="26"/>
          <w:szCs w:val="26"/>
        </w:rPr>
      </w:pPr>
    </w:p>
    <w:p w14:paraId="022D7520" w14:textId="32371C8D" w:rsidR="00C54EBC" w:rsidRPr="00E951F4" w:rsidRDefault="00D3662F" w:rsidP="001A278C">
      <w:pPr>
        <w:keepNext/>
        <w:widowControl/>
        <w:kinsoku w:val="0"/>
        <w:overflowPunct w:val="0"/>
        <w:spacing w:line="360" w:lineRule="auto"/>
        <w:ind w:left="144" w:right="144" w:firstLine="1296"/>
        <w:textAlignment w:val="baseline"/>
        <w:rPr>
          <w:sz w:val="26"/>
          <w:szCs w:val="26"/>
        </w:rPr>
      </w:pPr>
      <w:r w:rsidRPr="00E951F4">
        <w:rPr>
          <w:sz w:val="26"/>
          <w:szCs w:val="26"/>
        </w:rPr>
        <w:t xml:space="preserve">The ALJ concluded that the Partial Settlement </w:t>
      </w:r>
      <w:r w:rsidR="00370B58" w:rsidRPr="00E951F4">
        <w:rPr>
          <w:sz w:val="26"/>
          <w:szCs w:val="26"/>
        </w:rPr>
        <w:t>was r</w:t>
      </w:r>
      <w:r w:rsidRPr="00E951F4">
        <w:rPr>
          <w:sz w:val="26"/>
          <w:szCs w:val="26"/>
        </w:rPr>
        <w:t>easonable and in the public interest</w:t>
      </w:r>
      <w:r w:rsidR="001F46FE" w:rsidRPr="00E951F4">
        <w:rPr>
          <w:sz w:val="26"/>
          <w:szCs w:val="26"/>
        </w:rPr>
        <w:t xml:space="preserve"> and should be approved </w:t>
      </w:r>
      <w:r w:rsidRPr="00E951F4">
        <w:rPr>
          <w:sz w:val="26"/>
          <w:szCs w:val="26"/>
        </w:rPr>
        <w:t>without modification.</w:t>
      </w:r>
      <w:r w:rsidR="0084092C" w:rsidRPr="00E951F4">
        <w:rPr>
          <w:sz w:val="26"/>
          <w:szCs w:val="26"/>
        </w:rPr>
        <w:t xml:space="preserve">  </w:t>
      </w:r>
      <w:r w:rsidR="00631375" w:rsidRPr="00E951F4">
        <w:rPr>
          <w:sz w:val="26"/>
          <w:szCs w:val="26"/>
        </w:rPr>
        <w:t xml:space="preserve">R.D. at 30.  </w:t>
      </w:r>
      <w:r w:rsidR="0084092C" w:rsidRPr="00E951F4">
        <w:rPr>
          <w:sz w:val="26"/>
          <w:szCs w:val="26"/>
        </w:rPr>
        <w:t>The ALJ agreed with the Joint Petitioners</w:t>
      </w:r>
      <w:r w:rsidR="009F111C" w:rsidRPr="00E951F4">
        <w:rPr>
          <w:sz w:val="26"/>
          <w:szCs w:val="26"/>
        </w:rPr>
        <w:t>’</w:t>
      </w:r>
      <w:r w:rsidR="00AD6E54" w:rsidRPr="00E951F4">
        <w:rPr>
          <w:sz w:val="26"/>
          <w:szCs w:val="26"/>
        </w:rPr>
        <w:t xml:space="preserve"> averments in </w:t>
      </w:r>
      <w:r w:rsidR="0084092C" w:rsidRPr="00E951F4">
        <w:rPr>
          <w:sz w:val="26"/>
          <w:szCs w:val="26"/>
        </w:rPr>
        <w:t xml:space="preserve">their supporting statements that this Partial Settlement resolves contested issues in this case, fairly balances the interests of the </w:t>
      </w:r>
      <w:r w:rsidR="00AD6E54" w:rsidRPr="00E951F4">
        <w:rPr>
          <w:sz w:val="26"/>
          <w:szCs w:val="26"/>
        </w:rPr>
        <w:t>C</w:t>
      </w:r>
      <w:r w:rsidR="0084092C" w:rsidRPr="00E951F4">
        <w:rPr>
          <w:sz w:val="26"/>
          <w:szCs w:val="26"/>
        </w:rPr>
        <w:t>ompany and its ratepayers and is consistent with the requirements of the Code.</w:t>
      </w:r>
      <w:r w:rsidR="00AD6E54" w:rsidRPr="00E951F4">
        <w:rPr>
          <w:sz w:val="26"/>
          <w:szCs w:val="26"/>
        </w:rPr>
        <w:t xml:space="preserve">  </w:t>
      </w:r>
      <w:r w:rsidR="001D45FF" w:rsidRPr="00E951F4">
        <w:rPr>
          <w:sz w:val="26"/>
          <w:szCs w:val="26"/>
        </w:rPr>
        <w:t>T</w:t>
      </w:r>
      <w:r w:rsidR="00AD6E54" w:rsidRPr="00E951F4">
        <w:rPr>
          <w:sz w:val="26"/>
          <w:szCs w:val="26"/>
        </w:rPr>
        <w:t xml:space="preserve">he </w:t>
      </w:r>
      <w:r w:rsidR="001D45FF" w:rsidRPr="00E951F4">
        <w:rPr>
          <w:sz w:val="26"/>
          <w:szCs w:val="26"/>
        </w:rPr>
        <w:t xml:space="preserve">ALJ reasoned that the Partial Settlement </w:t>
      </w:r>
      <w:r w:rsidR="009F111C" w:rsidRPr="00E951F4">
        <w:rPr>
          <w:sz w:val="26"/>
          <w:szCs w:val="26"/>
        </w:rPr>
        <w:t>i</w:t>
      </w:r>
      <w:r w:rsidR="001D45FF" w:rsidRPr="00E951F4">
        <w:rPr>
          <w:sz w:val="26"/>
          <w:szCs w:val="26"/>
        </w:rPr>
        <w:t>s</w:t>
      </w:r>
      <w:r w:rsidR="00AD6E54" w:rsidRPr="00E951F4">
        <w:rPr>
          <w:sz w:val="26"/>
          <w:szCs w:val="26"/>
        </w:rPr>
        <w:t xml:space="preserve"> support</w:t>
      </w:r>
      <w:r w:rsidR="001D45FF" w:rsidRPr="00E951F4">
        <w:rPr>
          <w:sz w:val="26"/>
          <w:szCs w:val="26"/>
        </w:rPr>
        <w:t>ed</w:t>
      </w:r>
      <w:r w:rsidR="00AD6E54" w:rsidRPr="00E951F4">
        <w:rPr>
          <w:sz w:val="26"/>
          <w:szCs w:val="26"/>
        </w:rPr>
        <w:t xml:space="preserve"> </w:t>
      </w:r>
      <w:r w:rsidR="001D45FF" w:rsidRPr="00E951F4">
        <w:rPr>
          <w:sz w:val="26"/>
          <w:szCs w:val="26"/>
        </w:rPr>
        <w:t xml:space="preserve">by </w:t>
      </w:r>
      <w:r w:rsidR="00AD6E54" w:rsidRPr="00E951F4">
        <w:rPr>
          <w:sz w:val="26"/>
          <w:szCs w:val="26"/>
        </w:rPr>
        <w:t xml:space="preserve">a broad range of </w:t>
      </w:r>
      <w:r w:rsidR="001D45FF" w:rsidRPr="00E951F4">
        <w:rPr>
          <w:sz w:val="26"/>
          <w:szCs w:val="26"/>
        </w:rPr>
        <w:t>P</w:t>
      </w:r>
      <w:r w:rsidR="00AD6E54" w:rsidRPr="00E951F4">
        <w:rPr>
          <w:sz w:val="26"/>
          <w:szCs w:val="26"/>
        </w:rPr>
        <w:t>arties with diverse interests</w:t>
      </w:r>
      <w:r w:rsidR="009F111C" w:rsidRPr="00E951F4">
        <w:rPr>
          <w:sz w:val="26"/>
          <w:szCs w:val="26"/>
        </w:rPr>
        <w:t xml:space="preserve"> and that</w:t>
      </w:r>
      <w:r w:rsidR="00AD6E54" w:rsidRPr="00E951F4">
        <w:rPr>
          <w:sz w:val="26"/>
          <w:szCs w:val="26"/>
        </w:rPr>
        <w:t xml:space="preserve"> </w:t>
      </w:r>
      <w:r w:rsidR="009F111C" w:rsidRPr="00E951F4">
        <w:rPr>
          <w:sz w:val="26"/>
          <w:szCs w:val="26"/>
        </w:rPr>
        <w:t>e</w:t>
      </w:r>
      <w:r w:rsidR="00AD6E54" w:rsidRPr="00E951F4">
        <w:rPr>
          <w:sz w:val="26"/>
          <w:szCs w:val="26"/>
        </w:rPr>
        <w:t xml:space="preserve">ach of these </w:t>
      </w:r>
      <w:r w:rsidR="009F111C" w:rsidRPr="00E951F4">
        <w:rPr>
          <w:sz w:val="26"/>
          <w:szCs w:val="26"/>
        </w:rPr>
        <w:t>Parties</w:t>
      </w:r>
      <w:r w:rsidR="00AD6E54" w:rsidRPr="00E951F4">
        <w:rPr>
          <w:sz w:val="26"/>
          <w:szCs w:val="26"/>
        </w:rPr>
        <w:t xml:space="preserve"> </w:t>
      </w:r>
      <w:r w:rsidR="009F111C" w:rsidRPr="00E951F4">
        <w:rPr>
          <w:sz w:val="26"/>
          <w:szCs w:val="26"/>
        </w:rPr>
        <w:t xml:space="preserve">have </w:t>
      </w:r>
      <w:r w:rsidR="00AD6E54" w:rsidRPr="00E951F4">
        <w:rPr>
          <w:sz w:val="26"/>
          <w:szCs w:val="26"/>
        </w:rPr>
        <w:t>maintain</w:t>
      </w:r>
      <w:r w:rsidR="009F111C" w:rsidRPr="00E951F4">
        <w:rPr>
          <w:sz w:val="26"/>
          <w:szCs w:val="26"/>
        </w:rPr>
        <w:t>ed</w:t>
      </w:r>
      <w:r w:rsidR="00AD6E54" w:rsidRPr="00E951F4">
        <w:rPr>
          <w:sz w:val="26"/>
          <w:szCs w:val="26"/>
        </w:rPr>
        <w:t xml:space="preserve"> that the interests of their respective constituencies have been adequately protected.</w:t>
      </w:r>
      <w:r w:rsidR="002D5146" w:rsidRPr="00E951F4">
        <w:rPr>
          <w:sz w:val="26"/>
          <w:szCs w:val="26"/>
        </w:rPr>
        <w:t xml:space="preserve">  </w:t>
      </w:r>
      <w:r w:rsidR="00AF65A8" w:rsidRPr="00E951F4">
        <w:rPr>
          <w:sz w:val="26"/>
          <w:szCs w:val="26"/>
        </w:rPr>
        <w:t xml:space="preserve">The </w:t>
      </w:r>
      <w:r w:rsidR="00A347C6" w:rsidRPr="00E951F4">
        <w:rPr>
          <w:sz w:val="26"/>
          <w:szCs w:val="26"/>
        </w:rPr>
        <w:t xml:space="preserve">ALJ found that the Partial Settlement is consistent with the Commission’s goal of </w:t>
      </w:r>
      <w:r w:rsidR="00C54EBC" w:rsidRPr="00E951F4">
        <w:rPr>
          <w:sz w:val="26"/>
          <w:szCs w:val="26"/>
        </w:rPr>
        <w:t>encourag</w:t>
      </w:r>
      <w:r w:rsidR="00A347C6" w:rsidRPr="00E951F4">
        <w:rPr>
          <w:sz w:val="26"/>
          <w:szCs w:val="26"/>
        </w:rPr>
        <w:t>ing</w:t>
      </w:r>
      <w:r w:rsidR="00C54EBC" w:rsidRPr="00E951F4">
        <w:rPr>
          <w:sz w:val="26"/>
          <w:szCs w:val="26"/>
        </w:rPr>
        <w:t xml:space="preserve"> parties in contested proceedings to settle cases</w:t>
      </w:r>
      <w:r w:rsidR="00A347C6" w:rsidRPr="00E951F4">
        <w:rPr>
          <w:sz w:val="26"/>
          <w:szCs w:val="26"/>
        </w:rPr>
        <w:t xml:space="preserve"> and noted that s</w:t>
      </w:r>
      <w:r w:rsidR="00C54EBC" w:rsidRPr="00E951F4">
        <w:rPr>
          <w:sz w:val="26"/>
          <w:szCs w:val="26"/>
        </w:rPr>
        <w:t xml:space="preserve">ettlements eliminate the time, effort and expense of litigating a matter to its ultimate conclusion, which may entail </w:t>
      </w:r>
      <w:r w:rsidR="00C54EBC" w:rsidRPr="00E951F4">
        <w:rPr>
          <w:sz w:val="26"/>
          <w:szCs w:val="26"/>
        </w:rPr>
        <w:lastRenderedPageBreak/>
        <w:t>review of the Commission’s decision by the appellate courts of Pennsylvania.</w:t>
      </w:r>
      <w:r w:rsidR="00B82430" w:rsidRPr="00E951F4">
        <w:rPr>
          <w:sz w:val="26"/>
          <w:szCs w:val="26"/>
        </w:rPr>
        <w:t xml:space="preserve">  </w:t>
      </w:r>
      <w:r w:rsidR="00741B5C" w:rsidRPr="00E951F4">
        <w:rPr>
          <w:i/>
          <w:iCs/>
          <w:sz w:val="26"/>
          <w:szCs w:val="26"/>
        </w:rPr>
        <w:t>Id</w:t>
      </w:r>
      <w:r w:rsidR="00741B5C" w:rsidRPr="00E951F4">
        <w:rPr>
          <w:sz w:val="26"/>
          <w:szCs w:val="26"/>
        </w:rPr>
        <w:t>. at</w:t>
      </w:r>
      <w:r w:rsidR="001A278C">
        <w:rPr>
          <w:sz w:val="26"/>
          <w:szCs w:val="26"/>
        </w:rPr>
        <w:t> </w:t>
      </w:r>
      <w:r w:rsidR="00741B5C" w:rsidRPr="00E951F4">
        <w:rPr>
          <w:sz w:val="26"/>
          <w:szCs w:val="26"/>
        </w:rPr>
        <w:t xml:space="preserve">29.  </w:t>
      </w:r>
      <w:r w:rsidR="00200B76" w:rsidRPr="00E951F4">
        <w:rPr>
          <w:sz w:val="26"/>
          <w:szCs w:val="26"/>
        </w:rPr>
        <w:t>In this case, the ALJ determined that r</w:t>
      </w:r>
      <w:r w:rsidR="00C54EBC" w:rsidRPr="00E951F4">
        <w:rPr>
          <w:sz w:val="26"/>
          <w:szCs w:val="26"/>
        </w:rPr>
        <w:t xml:space="preserve">esolution of the issues </w:t>
      </w:r>
      <w:r w:rsidR="00884436" w:rsidRPr="00E951F4">
        <w:rPr>
          <w:sz w:val="26"/>
          <w:szCs w:val="26"/>
        </w:rPr>
        <w:t>in the</w:t>
      </w:r>
      <w:r w:rsidR="00C54EBC" w:rsidRPr="00E951F4">
        <w:rPr>
          <w:sz w:val="26"/>
          <w:szCs w:val="26"/>
        </w:rPr>
        <w:t xml:space="preserve"> negotiated </w:t>
      </w:r>
      <w:r w:rsidR="00884436" w:rsidRPr="00E951F4">
        <w:rPr>
          <w:sz w:val="26"/>
          <w:szCs w:val="26"/>
        </w:rPr>
        <w:t>Partial S</w:t>
      </w:r>
      <w:r w:rsidR="00C54EBC" w:rsidRPr="00E951F4">
        <w:rPr>
          <w:sz w:val="26"/>
          <w:szCs w:val="26"/>
        </w:rPr>
        <w:t>ettlement removes the uncertainties of litigation</w:t>
      </w:r>
      <w:r w:rsidR="00737BAD" w:rsidRPr="00E951F4">
        <w:rPr>
          <w:sz w:val="26"/>
          <w:szCs w:val="26"/>
        </w:rPr>
        <w:t xml:space="preserve"> and benefits</w:t>
      </w:r>
      <w:r w:rsidR="00C54EBC" w:rsidRPr="00E951F4">
        <w:rPr>
          <w:sz w:val="26"/>
          <w:szCs w:val="26"/>
        </w:rPr>
        <w:t xml:space="preserve"> all </w:t>
      </w:r>
      <w:r w:rsidR="00737BAD" w:rsidRPr="00E951F4">
        <w:rPr>
          <w:sz w:val="26"/>
          <w:szCs w:val="26"/>
        </w:rPr>
        <w:t>P</w:t>
      </w:r>
      <w:r w:rsidR="00C54EBC" w:rsidRPr="00E951F4">
        <w:rPr>
          <w:sz w:val="26"/>
          <w:szCs w:val="26"/>
        </w:rPr>
        <w:t xml:space="preserve">arties by the reduction in expense and the conservation of resources made possible by adoption of the proposed </w:t>
      </w:r>
      <w:r w:rsidR="00332C2D" w:rsidRPr="00E951F4">
        <w:rPr>
          <w:sz w:val="26"/>
          <w:szCs w:val="26"/>
        </w:rPr>
        <w:t>Partial S</w:t>
      </w:r>
      <w:r w:rsidR="00C54EBC" w:rsidRPr="00E951F4">
        <w:rPr>
          <w:sz w:val="26"/>
          <w:szCs w:val="26"/>
        </w:rPr>
        <w:t>ettlement in lieu of litigation.</w:t>
      </w:r>
      <w:r w:rsidR="00332C2D" w:rsidRPr="00E951F4">
        <w:rPr>
          <w:sz w:val="26"/>
          <w:szCs w:val="26"/>
        </w:rPr>
        <w:t xml:space="preserve"> </w:t>
      </w:r>
      <w:r w:rsidR="00741B5C" w:rsidRPr="00E951F4">
        <w:rPr>
          <w:sz w:val="26"/>
          <w:szCs w:val="26"/>
        </w:rPr>
        <w:t xml:space="preserve"> </w:t>
      </w:r>
      <w:r w:rsidR="00741B5C" w:rsidRPr="00E951F4">
        <w:rPr>
          <w:i/>
          <w:iCs/>
          <w:sz w:val="26"/>
          <w:szCs w:val="26"/>
        </w:rPr>
        <w:t>Id</w:t>
      </w:r>
      <w:r w:rsidR="00741B5C" w:rsidRPr="00E951F4">
        <w:rPr>
          <w:sz w:val="26"/>
          <w:szCs w:val="26"/>
        </w:rPr>
        <w:t>. at 30.</w:t>
      </w:r>
      <w:r w:rsidR="00332C2D" w:rsidRPr="00E951F4">
        <w:rPr>
          <w:sz w:val="26"/>
          <w:szCs w:val="26"/>
        </w:rPr>
        <w:t xml:space="preserve"> </w:t>
      </w:r>
    </w:p>
    <w:p w14:paraId="07CCEC29" w14:textId="77777777" w:rsidR="00D940A1" w:rsidRPr="00E951F4" w:rsidRDefault="00D940A1" w:rsidP="001A278C">
      <w:pPr>
        <w:widowControl/>
        <w:spacing w:line="360" w:lineRule="auto"/>
        <w:ind w:firstLine="1440"/>
        <w:contextualSpacing/>
        <w:rPr>
          <w:sz w:val="26"/>
          <w:szCs w:val="26"/>
        </w:rPr>
      </w:pPr>
    </w:p>
    <w:p w14:paraId="5B8CA886" w14:textId="737B1AFB" w:rsidR="00D940A1" w:rsidRPr="00E951F4" w:rsidRDefault="00E71D20" w:rsidP="001A278C">
      <w:pPr>
        <w:pStyle w:val="Heading2"/>
        <w:spacing w:line="360" w:lineRule="auto"/>
      </w:pPr>
      <w:bookmarkStart w:id="47" w:name="_Toc59620130"/>
      <w:bookmarkStart w:id="48" w:name="_Toc60912026"/>
      <w:r w:rsidRPr="00E951F4">
        <w:t>C</w:t>
      </w:r>
      <w:r w:rsidR="00D940A1" w:rsidRPr="00E951F4">
        <w:t>.</w:t>
      </w:r>
      <w:r w:rsidR="00D940A1" w:rsidRPr="00E951F4">
        <w:tab/>
        <w:t>Disposition of the Partial Settlement</w:t>
      </w:r>
      <w:bookmarkEnd w:id="47"/>
      <w:bookmarkEnd w:id="48"/>
    </w:p>
    <w:p w14:paraId="3E2A0F65" w14:textId="77777777" w:rsidR="00D940A1" w:rsidRPr="00E951F4" w:rsidRDefault="00D940A1" w:rsidP="001A278C">
      <w:pPr>
        <w:keepNext/>
        <w:widowControl/>
        <w:spacing w:line="360" w:lineRule="auto"/>
        <w:contextualSpacing/>
        <w:rPr>
          <w:sz w:val="26"/>
          <w:szCs w:val="26"/>
        </w:rPr>
      </w:pPr>
    </w:p>
    <w:p w14:paraId="6E9D730D" w14:textId="31C593C5" w:rsidR="00D940A1" w:rsidRPr="00E951F4" w:rsidRDefault="00D940A1" w:rsidP="001A278C">
      <w:pPr>
        <w:keepNext/>
        <w:widowControl/>
        <w:spacing w:line="360" w:lineRule="auto"/>
        <w:ind w:firstLine="1440"/>
        <w:contextualSpacing/>
        <w:rPr>
          <w:sz w:val="26"/>
          <w:szCs w:val="26"/>
        </w:rPr>
      </w:pPr>
      <w:r w:rsidRPr="00E951F4">
        <w:rPr>
          <w:sz w:val="26"/>
          <w:szCs w:val="26"/>
        </w:rPr>
        <w:t xml:space="preserve">Upon our review of the Partial Settlement and the accompanying Statements in Support, we find that the Partial Settlement is reasonable and in the public interest and, therefore, we shall approve the Partial Settlement without modification.  </w:t>
      </w:r>
      <w:r w:rsidR="00F26509" w:rsidRPr="00E951F4">
        <w:rPr>
          <w:sz w:val="26"/>
          <w:szCs w:val="26"/>
        </w:rPr>
        <w:t>W</w:t>
      </w:r>
      <w:r w:rsidRPr="00E951F4">
        <w:rPr>
          <w:sz w:val="26"/>
          <w:szCs w:val="26"/>
        </w:rPr>
        <w:t xml:space="preserve">e agree with the ALJ that the Partial Settlement represents a reasonable compromise by a wide variety of </w:t>
      </w:r>
      <w:r w:rsidR="00F26509" w:rsidRPr="00E951F4">
        <w:rPr>
          <w:sz w:val="26"/>
          <w:szCs w:val="26"/>
        </w:rPr>
        <w:t>P</w:t>
      </w:r>
      <w:r w:rsidRPr="00E951F4">
        <w:rPr>
          <w:sz w:val="26"/>
          <w:szCs w:val="26"/>
        </w:rPr>
        <w:t>arties with diverse interests</w:t>
      </w:r>
      <w:r w:rsidR="00EA0DF8" w:rsidRPr="00E951F4">
        <w:rPr>
          <w:sz w:val="26"/>
          <w:szCs w:val="26"/>
        </w:rPr>
        <w:t xml:space="preserve"> and</w:t>
      </w:r>
      <w:r w:rsidRPr="00E951F4">
        <w:rPr>
          <w:sz w:val="26"/>
          <w:szCs w:val="26"/>
        </w:rPr>
        <w:t xml:space="preserve"> that the Partial Settlement has served to reduce litigation expenses and </w:t>
      </w:r>
      <w:r w:rsidR="00EA0DF8" w:rsidRPr="00E951F4">
        <w:rPr>
          <w:sz w:val="26"/>
          <w:szCs w:val="26"/>
        </w:rPr>
        <w:t xml:space="preserve">to </w:t>
      </w:r>
      <w:r w:rsidRPr="00E951F4">
        <w:rPr>
          <w:sz w:val="26"/>
          <w:szCs w:val="26"/>
        </w:rPr>
        <w:t xml:space="preserve">conserve the resources of the Parties.  We also find that the terms of the Partial Settlement will benefit residential and lighting customers, small commercial and industrial customers, medium commercial and industrial customers, and large commercial and industrial customers.  </w:t>
      </w:r>
    </w:p>
    <w:p w14:paraId="2953A000" w14:textId="77777777" w:rsidR="00D940A1" w:rsidRPr="00E951F4" w:rsidRDefault="00D940A1" w:rsidP="00E951F4">
      <w:pPr>
        <w:widowControl/>
        <w:spacing w:line="360" w:lineRule="auto"/>
        <w:ind w:firstLine="1440"/>
        <w:contextualSpacing/>
        <w:rPr>
          <w:sz w:val="26"/>
          <w:szCs w:val="26"/>
        </w:rPr>
      </w:pPr>
    </w:p>
    <w:p w14:paraId="082DF798" w14:textId="5286E6A4" w:rsidR="00D940A1" w:rsidRPr="00E951F4" w:rsidRDefault="00D940A1" w:rsidP="00E951F4">
      <w:pPr>
        <w:widowControl/>
        <w:spacing w:line="360" w:lineRule="auto"/>
        <w:ind w:firstLine="1440"/>
        <w:contextualSpacing/>
        <w:rPr>
          <w:sz w:val="26"/>
          <w:szCs w:val="26"/>
        </w:rPr>
      </w:pPr>
      <w:r w:rsidRPr="00E951F4">
        <w:rPr>
          <w:sz w:val="26"/>
          <w:szCs w:val="26"/>
        </w:rPr>
        <w:t>In addition to the avoidance of litigation and associated costs, the beneficial aspects of the Partial Settlement include</w:t>
      </w:r>
      <w:r w:rsidR="00655821" w:rsidRPr="00E951F4">
        <w:rPr>
          <w:sz w:val="26"/>
          <w:szCs w:val="26"/>
        </w:rPr>
        <w:t xml:space="preserve"> the following</w:t>
      </w:r>
      <w:r w:rsidRPr="00E951F4">
        <w:rPr>
          <w:sz w:val="26"/>
          <w:szCs w:val="26"/>
        </w:rPr>
        <w:t>: (1) a four-year DSP IX term, to minimize future litigation time and expenses and reduce administrative costs; (2) the use of one-and two-year FPFR products, which will continue to provide an appropriate level of price stability for the Residential and Lighting customers and the Small C&amp;I customers; (3) the portfolio of FPFR products for the Residential and Lighting customers and the Small C&amp;I customers, which constitutes a “prudent mix” of supply resources; (4)</w:t>
      </w:r>
      <w:r w:rsidR="001A278C">
        <w:rPr>
          <w:sz w:val="26"/>
          <w:szCs w:val="26"/>
        </w:rPr>
        <w:t> </w:t>
      </w:r>
      <w:r w:rsidRPr="00E951F4">
        <w:rPr>
          <w:sz w:val="26"/>
          <w:szCs w:val="26"/>
        </w:rPr>
        <w:t>the consistency of no supply portfolio changes for the Residential and Lighting class, the Small C&amp;I class, and the Medium C&amp;I &lt;200kW class; (5) the agreement to expand the role of Duquesne Light’s Market Monitor, to ensure that the default service supply solicitation process is resource-neutral, non-discriminatory</w:t>
      </w:r>
      <w:r w:rsidR="00AB329E" w:rsidRPr="00E951F4">
        <w:rPr>
          <w:sz w:val="26"/>
          <w:szCs w:val="26"/>
        </w:rPr>
        <w:t>,</w:t>
      </w:r>
      <w:r w:rsidRPr="00E951F4">
        <w:rPr>
          <w:sz w:val="26"/>
          <w:szCs w:val="26"/>
        </w:rPr>
        <w:t xml:space="preserve"> and competitive; (6) the </w:t>
      </w:r>
      <w:r w:rsidRPr="00E951F4">
        <w:rPr>
          <w:sz w:val="26"/>
          <w:szCs w:val="26"/>
        </w:rPr>
        <w:lastRenderedPageBreak/>
        <w:t>agreement on contingency plans, to obtain supply for each of the classes in the event of failure to receive bids for less than all of the tranches, or Commission rejection of the bid results for any procurement, or supplier default; (7) the agreement on the modifications to the SMA; (8) the agreement that the DSP IX Plan, as modified by the Partial Settlement, meets the standards set forth in Act 129 and enables the Commission to make the necessary findings p</w:t>
      </w:r>
      <w:r w:rsidR="00A3106D" w:rsidRPr="00E951F4">
        <w:rPr>
          <w:sz w:val="26"/>
          <w:szCs w:val="26"/>
        </w:rPr>
        <w:t>ursuant to</w:t>
      </w:r>
      <w:r w:rsidRPr="00E951F4">
        <w:rPr>
          <w:sz w:val="26"/>
          <w:szCs w:val="26"/>
        </w:rPr>
        <w:t xml:space="preserve"> 66 Pa. C.S. § 2807(e)(3.7); (9) the consistency of no changes to the POR program; (10) the agreements regarding upgrades and changes to the treatment of net metering customers and the bill design; and (11) the agreement on clarifying select language in Duquesne Light’s Supplier Coordination Tariff to ensure clear communication of pricing structures and stronger enforceability of EGS billing requirements.  </w:t>
      </w:r>
    </w:p>
    <w:p w14:paraId="0F0E5F50" w14:textId="356B3B08" w:rsidR="00BB29C2" w:rsidRPr="00E951F4" w:rsidRDefault="00BB29C2" w:rsidP="00E951F4">
      <w:pPr>
        <w:widowControl/>
        <w:spacing w:line="360" w:lineRule="auto"/>
        <w:ind w:firstLine="1440"/>
        <w:contextualSpacing/>
        <w:rPr>
          <w:sz w:val="26"/>
          <w:szCs w:val="26"/>
        </w:rPr>
      </w:pPr>
    </w:p>
    <w:p w14:paraId="13D7EBEF" w14:textId="77777777" w:rsidR="00456245" w:rsidRPr="00E951F4" w:rsidRDefault="00456245" w:rsidP="001A278C">
      <w:pPr>
        <w:widowControl/>
        <w:spacing w:line="360" w:lineRule="auto"/>
        <w:ind w:firstLine="1440"/>
        <w:rPr>
          <w:sz w:val="26"/>
          <w:szCs w:val="26"/>
        </w:rPr>
      </w:pPr>
      <w:r w:rsidRPr="00E951F4">
        <w:rPr>
          <w:sz w:val="26"/>
          <w:szCs w:val="26"/>
        </w:rPr>
        <w:t>Accordingly, we shall adopt the ALJ’s recommendation to grant the Joint Petition for Partial Settlement and approve the Partial Settlement without modification.</w:t>
      </w:r>
    </w:p>
    <w:p w14:paraId="668042A8" w14:textId="77777777" w:rsidR="00D940A1" w:rsidRPr="00E951F4" w:rsidRDefault="00D940A1" w:rsidP="001A278C">
      <w:pPr>
        <w:keepNext/>
        <w:widowControl/>
        <w:spacing w:line="360" w:lineRule="auto"/>
        <w:ind w:firstLine="1440"/>
        <w:contextualSpacing/>
        <w:rPr>
          <w:sz w:val="26"/>
          <w:szCs w:val="26"/>
        </w:rPr>
      </w:pPr>
    </w:p>
    <w:p w14:paraId="37579C92" w14:textId="4093DF18" w:rsidR="00EA64E1" w:rsidRPr="00E951F4" w:rsidRDefault="00EA64E1" w:rsidP="001A278C">
      <w:pPr>
        <w:pStyle w:val="Heading1"/>
        <w:keepNext/>
        <w:ind w:left="0" w:firstLine="0"/>
      </w:pPr>
      <w:bookmarkStart w:id="49" w:name="_Toc59620131"/>
      <w:bookmarkStart w:id="50" w:name="_Toc60912027"/>
      <w:bookmarkStart w:id="51" w:name="_Toc56512759"/>
      <w:bookmarkEnd w:id="19"/>
      <w:r w:rsidRPr="00E951F4">
        <w:t>SOP Stipulation</w:t>
      </w:r>
      <w:bookmarkEnd w:id="49"/>
      <w:bookmarkEnd w:id="50"/>
    </w:p>
    <w:p w14:paraId="03E262C1" w14:textId="77777777" w:rsidR="00EA64E1" w:rsidRPr="00E951F4" w:rsidRDefault="00EA64E1" w:rsidP="001A278C">
      <w:pPr>
        <w:pStyle w:val="BodyText2"/>
        <w:keepNext/>
        <w:widowControl/>
        <w:spacing w:after="0" w:line="360" w:lineRule="auto"/>
        <w:rPr>
          <w:sz w:val="26"/>
          <w:szCs w:val="26"/>
        </w:rPr>
      </w:pPr>
    </w:p>
    <w:p w14:paraId="077DFE6A" w14:textId="5E283AA4" w:rsidR="00EA64E1" w:rsidRPr="00E951F4" w:rsidRDefault="00EA64E1" w:rsidP="001A278C">
      <w:pPr>
        <w:pStyle w:val="Heading2"/>
        <w:numPr>
          <w:ilvl w:val="0"/>
          <w:numId w:val="50"/>
        </w:numPr>
        <w:spacing w:line="360" w:lineRule="auto"/>
        <w:ind w:hanging="720"/>
      </w:pPr>
      <w:bookmarkStart w:id="52" w:name="_Toc59620132"/>
      <w:bookmarkStart w:id="53" w:name="_Toc60912028"/>
      <w:r w:rsidRPr="00E951F4">
        <w:t>Duquesne Light’s SOP Proposal</w:t>
      </w:r>
      <w:bookmarkEnd w:id="52"/>
      <w:bookmarkEnd w:id="53"/>
      <w:r w:rsidRPr="00E951F4">
        <w:t xml:space="preserve"> </w:t>
      </w:r>
    </w:p>
    <w:p w14:paraId="28B1DD09" w14:textId="7B97CDD6" w:rsidR="00EA64E1" w:rsidRPr="00E951F4" w:rsidRDefault="00EA64E1" w:rsidP="001A278C">
      <w:pPr>
        <w:pStyle w:val="BodyText2"/>
        <w:keepNext/>
        <w:widowControl/>
        <w:spacing w:after="0" w:line="360" w:lineRule="auto"/>
        <w:rPr>
          <w:sz w:val="26"/>
          <w:szCs w:val="26"/>
        </w:rPr>
      </w:pPr>
    </w:p>
    <w:p w14:paraId="37DEF76C" w14:textId="71E33A6D" w:rsidR="00EA64E1" w:rsidRPr="00E951F4" w:rsidRDefault="00EA64E1" w:rsidP="001A278C">
      <w:pPr>
        <w:keepNext/>
        <w:widowControl/>
        <w:autoSpaceDE w:val="0"/>
        <w:autoSpaceDN w:val="0"/>
        <w:adjustRightInd w:val="0"/>
        <w:spacing w:line="360" w:lineRule="auto"/>
        <w:ind w:firstLine="1440"/>
        <w:rPr>
          <w:rFonts w:eastAsiaTheme="minorHAnsi"/>
          <w:sz w:val="26"/>
          <w:szCs w:val="26"/>
        </w:rPr>
      </w:pPr>
      <w:r w:rsidRPr="00E951F4">
        <w:rPr>
          <w:rFonts w:eastAsiaTheme="minorHAnsi"/>
          <w:sz w:val="26"/>
          <w:szCs w:val="26"/>
        </w:rPr>
        <w:t xml:space="preserve">Duquesne Light’s witness, Ms. </w:t>
      </w:r>
      <w:r w:rsidR="00FB526D" w:rsidRPr="00E951F4">
        <w:rPr>
          <w:rFonts w:eastAsiaTheme="minorHAnsi"/>
          <w:sz w:val="26"/>
          <w:szCs w:val="26"/>
        </w:rPr>
        <w:t xml:space="preserve">Katherine M. </w:t>
      </w:r>
      <w:r w:rsidRPr="00E951F4">
        <w:rPr>
          <w:rFonts w:eastAsiaTheme="minorHAnsi"/>
          <w:sz w:val="26"/>
          <w:szCs w:val="26"/>
        </w:rPr>
        <w:t>Scholl, explained the Company’s current SOP as follows:</w:t>
      </w:r>
    </w:p>
    <w:p w14:paraId="7FC6B768" w14:textId="77777777" w:rsidR="00EA64E1" w:rsidRPr="00E951F4" w:rsidRDefault="00EA64E1" w:rsidP="00E951F4">
      <w:pPr>
        <w:widowControl/>
        <w:autoSpaceDE w:val="0"/>
        <w:autoSpaceDN w:val="0"/>
        <w:adjustRightInd w:val="0"/>
        <w:rPr>
          <w:rFonts w:eastAsiaTheme="minorHAnsi"/>
          <w:sz w:val="26"/>
          <w:szCs w:val="26"/>
        </w:rPr>
      </w:pPr>
    </w:p>
    <w:p w14:paraId="7088D592" w14:textId="1439C178" w:rsidR="00EA64E1" w:rsidRPr="00E951F4" w:rsidRDefault="00EA64E1" w:rsidP="00E951F4">
      <w:pPr>
        <w:widowControl/>
        <w:autoSpaceDE w:val="0"/>
        <w:autoSpaceDN w:val="0"/>
        <w:adjustRightInd w:val="0"/>
        <w:ind w:left="1440" w:right="1440"/>
        <w:rPr>
          <w:rFonts w:eastAsiaTheme="minorHAnsi"/>
          <w:sz w:val="26"/>
          <w:szCs w:val="26"/>
        </w:rPr>
      </w:pPr>
      <w:r w:rsidRPr="00E951F4">
        <w:rPr>
          <w:rFonts w:eastAsiaTheme="minorHAnsi"/>
          <w:sz w:val="26"/>
          <w:szCs w:val="26"/>
        </w:rPr>
        <w:t xml:space="preserve">The Company’s SOP was initially implemented as part of its Default Service Plan VI. </w:t>
      </w:r>
      <w:r w:rsidR="009D30B8" w:rsidRPr="00E951F4">
        <w:rPr>
          <w:rFonts w:eastAsiaTheme="minorHAnsi"/>
          <w:sz w:val="26"/>
          <w:szCs w:val="26"/>
        </w:rPr>
        <w:t xml:space="preserve"> </w:t>
      </w:r>
      <w:r w:rsidRPr="00E951F4">
        <w:rPr>
          <w:rFonts w:eastAsiaTheme="minorHAnsi"/>
          <w:sz w:val="26"/>
          <w:szCs w:val="26"/>
        </w:rPr>
        <w:t>The SOP targets residential and small C&amp;I customers who are not served by an Electric Generation Supplier (“EGS”) and who contact the Company with four types of calls.  Specifically, customers who contact the Company: 1) to initiate or move service, 2) to discuss choice questions, 3) to resolve high bill concerns, or 4) to inquire about the SOP, are provided information regarding participation in the Company’s SOP. After the customer’s</w:t>
      </w:r>
    </w:p>
    <w:p w14:paraId="4C7643BD" w14:textId="06BFE446" w:rsidR="00EA64E1" w:rsidRPr="00E951F4" w:rsidRDefault="00EA64E1" w:rsidP="00E951F4">
      <w:pPr>
        <w:widowControl/>
        <w:autoSpaceDE w:val="0"/>
        <w:autoSpaceDN w:val="0"/>
        <w:adjustRightInd w:val="0"/>
        <w:ind w:left="1440" w:right="1440"/>
        <w:rPr>
          <w:rFonts w:eastAsiaTheme="minorHAnsi"/>
          <w:sz w:val="26"/>
          <w:szCs w:val="26"/>
        </w:rPr>
      </w:pPr>
      <w:r w:rsidRPr="00E951F4">
        <w:rPr>
          <w:rFonts w:eastAsiaTheme="minorHAnsi"/>
          <w:sz w:val="26"/>
          <w:szCs w:val="26"/>
        </w:rPr>
        <w:lastRenderedPageBreak/>
        <w:t xml:space="preserve">specific inquiry has been resolved, Duquesne Light’s customer service representative (“CSR”) offers the customer the opportunity to participate in the SOP utilizing an established script. </w:t>
      </w:r>
      <w:r w:rsidR="009D30B8" w:rsidRPr="00E951F4">
        <w:rPr>
          <w:rFonts w:eastAsiaTheme="minorHAnsi"/>
          <w:sz w:val="26"/>
          <w:szCs w:val="26"/>
        </w:rPr>
        <w:t xml:space="preserve"> </w:t>
      </w:r>
      <w:r w:rsidRPr="00E951F4">
        <w:rPr>
          <w:rFonts w:eastAsiaTheme="minorHAnsi"/>
          <w:sz w:val="26"/>
          <w:szCs w:val="26"/>
        </w:rPr>
        <w:t>When the customer indicates that he/she is interested in participating in the SOP, he/she is transferred to a participating EGS for program details and enrollment. Customers who enroll with an EGS through SOP</w:t>
      </w:r>
    </w:p>
    <w:p w14:paraId="701193AE" w14:textId="0AA51671" w:rsidR="00EA64E1" w:rsidRPr="00E951F4" w:rsidRDefault="00EA64E1" w:rsidP="00E951F4">
      <w:pPr>
        <w:keepNext/>
        <w:widowControl/>
        <w:autoSpaceDE w:val="0"/>
        <w:autoSpaceDN w:val="0"/>
        <w:adjustRightInd w:val="0"/>
        <w:ind w:left="1440" w:right="1440"/>
        <w:rPr>
          <w:rFonts w:eastAsiaTheme="minorHAnsi"/>
          <w:sz w:val="26"/>
          <w:szCs w:val="26"/>
        </w:rPr>
      </w:pPr>
      <w:r w:rsidRPr="00E951F4">
        <w:rPr>
          <w:rFonts w:eastAsiaTheme="minorHAnsi"/>
          <w:sz w:val="26"/>
          <w:szCs w:val="26"/>
        </w:rPr>
        <w:t xml:space="preserve">have the option of choosing a fixed price 7% below the Company’s then-effective price to compare (“PTC”) for a period of 12 months. </w:t>
      </w:r>
      <w:r w:rsidR="009D30B8" w:rsidRPr="00E951F4">
        <w:rPr>
          <w:rFonts w:eastAsiaTheme="minorHAnsi"/>
          <w:sz w:val="26"/>
          <w:szCs w:val="26"/>
        </w:rPr>
        <w:t xml:space="preserve"> </w:t>
      </w:r>
      <w:r w:rsidRPr="00E951F4">
        <w:rPr>
          <w:rFonts w:eastAsiaTheme="minorHAnsi"/>
          <w:sz w:val="26"/>
          <w:szCs w:val="26"/>
        </w:rPr>
        <w:t>Customers can leave the SOP at any time during these 12 months without penalty.</w:t>
      </w:r>
    </w:p>
    <w:p w14:paraId="6D5B7B3C" w14:textId="77777777" w:rsidR="00EA64E1" w:rsidRPr="00E951F4" w:rsidRDefault="00EA64E1" w:rsidP="00E951F4">
      <w:pPr>
        <w:keepNext/>
        <w:widowControl/>
        <w:spacing w:line="360" w:lineRule="auto"/>
        <w:ind w:left="1440" w:right="1440"/>
        <w:rPr>
          <w:rFonts w:eastAsiaTheme="minorHAnsi"/>
          <w:sz w:val="26"/>
          <w:szCs w:val="26"/>
        </w:rPr>
      </w:pPr>
    </w:p>
    <w:p w14:paraId="6993A4E8" w14:textId="77777777" w:rsidR="00EA64E1" w:rsidRPr="00E951F4" w:rsidRDefault="00EA64E1" w:rsidP="00E951F4">
      <w:pPr>
        <w:keepNext/>
        <w:widowControl/>
        <w:spacing w:line="360" w:lineRule="auto"/>
        <w:contextualSpacing/>
        <w:rPr>
          <w:rFonts w:eastAsiaTheme="minorHAnsi"/>
          <w:sz w:val="26"/>
          <w:szCs w:val="26"/>
        </w:rPr>
      </w:pPr>
      <w:r w:rsidRPr="00E951F4">
        <w:rPr>
          <w:rFonts w:eastAsiaTheme="minorHAnsi"/>
          <w:sz w:val="26"/>
          <w:szCs w:val="26"/>
        </w:rPr>
        <w:t>Duquesne Light St. 1 at 3.</w:t>
      </w:r>
    </w:p>
    <w:p w14:paraId="602A38B6" w14:textId="77777777" w:rsidR="00EA64E1" w:rsidRPr="00E951F4" w:rsidRDefault="00EA64E1" w:rsidP="00E951F4">
      <w:pPr>
        <w:widowControl/>
        <w:spacing w:line="360" w:lineRule="auto"/>
        <w:contextualSpacing/>
        <w:rPr>
          <w:bCs/>
          <w:sz w:val="26"/>
          <w:szCs w:val="26"/>
        </w:rPr>
      </w:pPr>
    </w:p>
    <w:p w14:paraId="4ECE958D" w14:textId="6634E3A7" w:rsidR="00EA64E1" w:rsidRPr="00E951F4" w:rsidRDefault="00EA64E1" w:rsidP="00E951F4">
      <w:pPr>
        <w:widowControl/>
        <w:autoSpaceDE w:val="0"/>
        <w:autoSpaceDN w:val="0"/>
        <w:adjustRightInd w:val="0"/>
        <w:spacing w:line="360" w:lineRule="auto"/>
        <w:ind w:firstLine="1440"/>
        <w:rPr>
          <w:rFonts w:eastAsiaTheme="minorHAnsi"/>
          <w:sz w:val="26"/>
          <w:szCs w:val="26"/>
        </w:rPr>
      </w:pPr>
      <w:r w:rsidRPr="00E951F4">
        <w:rPr>
          <w:rFonts w:eastAsiaTheme="minorHAnsi"/>
          <w:sz w:val="26"/>
          <w:szCs w:val="26"/>
        </w:rPr>
        <w:t xml:space="preserve">Duquesne Light currently administers its own SOP directly using its own CSRs to offer the SOP to customers. </w:t>
      </w:r>
      <w:r w:rsidR="009D30B8" w:rsidRPr="00E951F4">
        <w:rPr>
          <w:rFonts w:eastAsiaTheme="minorHAnsi"/>
          <w:sz w:val="26"/>
          <w:szCs w:val="26"/>
        </w:rPr>
        <w:t xml:space="preserve"> </w:t>
      </w:r>
      <w:r w:rsidRPr="00E951F4">
        <w:rPr>
          <w:rFonts w:eastAsiaTheme="minorHAnsi"/>
          <w:sz w:val="26"/>
          <w:szCs w:val="26"/>
        </w:rPr>
        <w:t xml:space="preserve">Duquesne Light is the only large EDC in Pennsylvania that directly administers the SOP. </w:t>
      </w:r>
      <w:r w:rsidR="009D30B8" w:rsidRPr="00E951F4">
        <w:rPr>
          <w:rFonts w:eastAsiaTheme="minorHAnsi"/>
          <w:sz w:val="26"/>
          <w:szCs w:val="26"/>
        </w:rPr>
        <w:t xml:space="preserve"> </w:t>
      </w:r>
      <w:r w:rsidRPr="00E951F4">
        <w:rPr>
          <w:rFonts w:eastAsiaTheme="minorHAnsi"/>
          <w:sz w:val="26"/>
          <w:szCs w:val="26"/>
        </w:rPr>
        <w:t xml:space="preserve">All of the other EDCs outsource administration of their SOPs to third party vendors. </w:t>
      </w:r>
      <w:r w:rsidR="009D30B8" w:rsidRPr="00E951F4">
        <w:rPr>
          <w:rFonts w:eastAsiaTheme="minorHAnsi"/>
          <w:sz w:val="26"/>
          <w:szCs w:val="26"/>
        </w:rPr>
        <w:t xml:space="preserve"> </w:t>
      </w:r>
      <w:r w:rsidRPr="00E951F4">
        <w:rPr>
          <w:rFonts w:eastAsiaTheme="minorHAnsi"/>
          <w:sz w:val="26"/>
          <w:szCs w:val="26"/>
        </w:rPr>
        <w:t>Duquesne Light St. 1 at 4.</w:t>
      </w:r>
    </w:p>
    <w:p w14:paraId="664C3097" w14:textId="77777777" w:rsidR="00EA64E1" w:rsidRPr="00E951F4" w:rsidRDefault="00EA64E1" w:rsidP="00E951F4">
      <w:pPr>
        <w:widowControl/>
        <w:autoSpaceDE w:val="0"/>
        <w:autoSpaceDN w:val="0"/>
        <w:adjustRightInd w:val="0"/>
        <w:spacing w:line="360" w:lineRule="auto"/>
        <w:ind w:firstLine="1440"/>
        <w:rPr>
          <w:rFonts w:eastAsiaTheme="minorHAnsi"/>
          <w:sz w:val="26"/>
          <w:szCs w:val="26"/>
        </w:rPr>
      </w:pPr>
    </w:p>
    <w:p w14:paraId="13F1000D" w14:textId="7C3A58CA" w:rsidR="00EA64E1" w:rsidRPr="00E951F4" w:rsidRDefault="00EA64E1" w:rsidP="00E951F4">
      <w:pPr>
        <w:widowControl/>
        <w:autoSpaceDE w:val="0"/>
        <w:autoSpaceDN w:val="0"/>
        <w:adjustRightInd w:val="0"/>
        <w:spacing w:line="360" w:lineRule="auto"/>
        <w:ind w:firstLine="1440"/>
        <w:rPr>
          <w:rFonts w:eastAsiaTheme="minorHAnsi"/>
          <w:sz w:val="26"/>
          <w:szCs w:val="26"/>
        </w:rPr>
      </w:pPr>
      <w:r w:rsidRPr="00E951F4">
        <w:rPr>
          <w:rFonts w:eastAsiaTheme="minorHAnsi"/>
          <w:sz w:val="26"/>
          <w:szCs w:val="26"/>
        </w:rPr>
        <w:t xml:space="preserve">In this proceeding, the Company proposed to outsource administration of the SOP to a third-party vendor. </w:t>
      </w:r>
      <w:r w:rsidR="009D30B8" w:rsidRPr="00E951F4">
        <w:rPr>
          <w:rFonts w:eastAsiaTheme="minorHAnsi"/>
          <w:sz w:val="26"/>
          <w:szCs w:val="26"/>
        </w:rPr>
        <w:t xml:space="preserve"> </w:t>
      </w:r>
      <w:r w:rsidRPr="00E951F4">
        <w:rPr>
          <w:rFonts w:eastAsiaTheme="minorHAnsi"/>
          <w:sz w:val="26"/>
          <w:szCs w:val="26"/>
        </w:rPr>
        <w:t xml:space="preserve">Duquesne Light St. 1 at 5. </w:t>
      </w:r>
      <w:r w:rsidR="009D30B8" w:rsidRPr="00E951F4">
        <w:rPr>
          <w:rFonts w:eastAsiaTheme="minorHAnsi"/>
          <w:sz w:val="26"/>
          <w:szCs w:val="26"/>
        </w:rPr>
        <w:t xml:space="preserve"> </w:t>
      </w:r>
      <w:r w:rsidRPr="00E951F4">
        <w:rPr>
          <w:rFonts w:eastAsiaTheme="minorHAnsi"/>
          <w:sz w:val="26"/>
          <w:szCs w:val="26"/>
        </w:rPr>
        <w:t xml:space="preserve">Duquesne Light’s SOP enrollment numbers have lagged behind other EDCs and Duquesne Light believes that outsourcing could increase customer participation. </w:t>
      </w:r>
      <w:r w:rsidR="009D30B8" w:rsidRPr="00E951F4">
        <w:rPr>
          <w:rFonts w:eastAsiaTheme="minorHAnsi"/>
          <w:sz w:val="26"/>
          <w:szCs w:val="26"/>
        </w:rPr>
        <w:t xml:space="preserve"> </w:t>
      </w:r>
      <w:r w:rsidRPr="00E951F4">
        <w:rPr>
          <w:rFonts w:eastAsiaTheme="minorHAnsi"/>
          <w:sz w:val="26"/>
          <w:szCs w:val="26"/>
        </w:rPr>
        <w:t xml:space="preserve">Duquesne Light St. 1 at 8. Outsourcing administration of the SOP also will allow the Company’s CSRs to focus on core distribution company issues. </w:t>
      </w:r>
      <w:r w:rsidR="009D30B8" w:rsidRPr="00E951F4">
        <w:rPr>
          <w:rFonts w:eastAsiaTheme="minorHAnsi"/>
          <w:sz w:val="26"/>
          <w:szCs w:val="26"/>
        </w:rPr>
        <w:t xml:space="preserve"> </w:t>
      </w:r>
      <w:r w:rsidRPr="00E951F4">
        <w:rPr>
          <w:rFonts w:eastAsiaTheme="minorHAnsi"/>
          <w:sz w:val="26"/>
          <w:szCs w:val="26"/>
        </w:rPr>
        <w:t xml:space="preserve">In addition, outsourcing the SOP will align administration with the other EDCs in Pennsylvania. </w:t>
      </w:r>
      <w:r w:rsidR="00215722" w:rsidRPr="00E951F4">
        <w:rPr>
          <w:rFonts w:eastAsiaTheme="minorHAnsi"/>
          <w:sz w:val="26"/>
          <w:szCs w:val="26"/>
        </w:rPr>
        <w:t xml:space="preserve"> </w:t>
      </w:r>
      <w:r w:rsidRPr="00E951F4">
        <w:rPr>
          <w:rFonts w:eastAsiaTheme="minorHAnsi"/>
          <w:sz w:val="26"/>
          <w:szCs w:val="26"/>
        </w:rPr>
        <w:t>Duquesne Light St. l at 9-10.</w:t>
      </w:r>
    </w:p>
    <w:p w14:paraId="1F9BBB7B" w14:textId="77777777" w:rsidR="00EA64E1" w:rsidRPr="00E951F4" w:rsidRDefault="00EA64E1" w:rsidP="00E951F4">
      <w:pPr>
        <w:widowControl/>
        <w:spacing w:line="360" w:lineRule="auto"/>
        <w:ind w:firstLine="1440"/>
        <w:rPr>
          <w:rFonts w:eastAsiaTheme="minorHAnsi"/>
          <w:sz w:val="26"/>
          <w:szCs w:val="26"/>
        </w:rPr>
      </w:pPr>
    </w:p>
    <w:p w14:paraId="34741F79" w14:textId="11C21014" w:rsidR="00EA64E1" w:rsidRPr="00E951F4" w:rsidRDefault="00EA64E1" w:rsidP="00E951F4">
      <w:pPr>
        <w:widowControl/>
        <w:autoSpaceDE w:val="0"/>
        <w:autoSpaceDN w:val="0"/>
        <w:adjustRightInd w:val="0"/>
        <w:spacing w:line="360" w:lineRule="auto"/>
        <w:ind w:firstLine="1440"/>
        <w:rPr>
          <w:rFonts w:eastAsiaTheme="minorHAnsi"/>
          <w:sz w:val="26"/>
          <w:szCs w:val="26"/>
        </w:rPr>
      </w:pPr>
      <w:r w:rsidRPr="00E951F4">
        <w:rPr>
          <w:rFonts w:eastAsiaTheme="minorHAnsi"/>
          <w:sz w:val="26"/>
          <w:szCs w:val="26"/>
        </w:rPr>
        <w:t xml:space="preserve">The OCA initially opposed outsourcing the administration of the SOP to a third-party vendor.  The OCA argued that a third-party vendor could present the SOP in a promotional manner and not fair and neutral. </w:t>
      </w:r>
      <w:r w:rsidR="009D30B8" w:rsidRPr="00E951F4">
        <w:rPr>
          <w:rFonts w:eastAsiaTheme="minorHAnsi"/>
          <w:sz w:val="26"/>
          <w:szCs w:val="26"/>
        </w:rPr>
        <w:t xml:space="preserve"> </w:t>
      </w:r>
      <w:r w:rsidRPr="00E951F4">
        <w:rPr>
          <w:rFonts w:eastAsiaTheme="minorHAnsi"/>
          <w:sz w:val="26"/>
          <w:szCs w:val="26"/>
        </w:rPr>
        <w:t xml:space="preserve">OCA St. 2 at 14.  The OCA also presented concerns regarding the Company’s scripting. </w:t>
      </w:r>
      <w:r w:rsidR="009D30B8" w:rsidRPr="00E951F4">
        <w:rPr>
          <w:rFonts w:eastAsiaTheme="minorHAnsi"/>
          <w:sz w:val="26"/>
          <w:szCs w:val="26"/>
        </w:rPr>
        <w:t xml:space="preserve"> </w:t>
      </w:r>
      <w:r w:rsidRPr="00E951F4">
        <w:rPr>
          <w:rFonts w:eastAsiaTheme="minorHAnsi"/>
          <w:sz w:val="26"/>
          <w:szCs w:val="26"/>
        </w:rPr>
        <w:t>OCA St. 2 at 15.  The OCA and CAUSE</w:t>
      </w:r>
      <w:r w:rsidR="001A278C">
        <w:rPr>
          <w:rFonts w:eastAsiaTheme="minorHAnsi"/>
          <w:sz w:val="26"/>
          <w:szCs w:val="26"/>
        </w:rPr>
        <w:noBreakHyphen/>
      </w:r>
      <w:r w:rsidRPr="00E951F4">
        <w:rPr>
          <w:rFonts w:eastAsiaTheme="minorHAnsi"/>
          <w:sz w:val="26"/>
          <w:szCs w:val="26"/>
        </w:rPr>
        <w:t xml:space="preserve">PA also argued that the Company should conduct a study of prices charged by </w:t>
      </w:r>
      <w:r w:rsidRPr="00E951F4">
        <w:rPr>
          <w:rFonts w:eastAsiaTheme="minorHAnsi"/>
          <w:sz w:val="26"/>
          <w:szCs w:val="26"/>
        </w:rPr>
        <w:lastRenderedPageBreak/>
        <w:t xml:space="preserve">SOP suppliers following the </w:t>
      </w:r>
      <w:r w:rsidR="009D30B8" w:rsidRPr="00E951F4">
        <w:rPr>
          <w:rFonts w:eastAsiaTheme="minorHAnsi"/>
          <w:sz w:val="26"/>
          <w:szCs w:val="26"/>
        </w:rPr>
        <w:t>twelve</w:t>
      </w:r>
      <w:r w:rsidRPr="00E951F4">
        <w:rPr>
          <w:rFonts w:eastAsiaTheme="minorHAnsi"/>
          <w:sz w:val="26"/>
          <w:szCs w:val="26"/>
        </w:rPr>
        <w:t xml:space="preserve">-month SOP term. </w:t>
      </w:r>
      <w:r w:rsidR="009D30B8" w:rsidRPr="00E951F4">
        <w:rPr>
          <w:rFonts w:eastAsiaTheme="minorHAnsi"/>
          <w:sz w:val="26"/>
          <w:szCs w:val="26"/>
        </w:rPr>
        <w:t xml:space="preserve"> </w:t>
      </w:r>
      <w:r w:rsidRPr="00E951F4">
        <w:rPr>
          <w:rFonts w:eastAsiaTheme="minorHAnsi"/>
          <w:sz w:val="26"/>
          <w:szCs w:val="26"/>
        </w:rPr>
        <w:t xml:space="preserve">OCA St. 2 at 16-17; CAUSE-PA St. 1 at 30. </w:t>
      </w:r>
      <w:r w:rsidR="009D30B8" w:rsidRPr="00E951F4">
        <w:rPr>
          <w:rFonts w:eastAsiaTheme="minorHAnsi"/>
          <w:sz w:val="26"/>
          <w:szCs w:val="26"/>
        </w:rPr>
        <w:t xml:space="preserve"> </w:t>
      </w:r>
      <w:r w:rsidRPr="00E951F4">
        <w:rPr>
          <w:rFonts w:eastAsiaTheme="minorHAnsi"/>
          <w:sz w:val="26"/>
          <w:szCs w:val="26"/>
        </w:rPr>
        <w:t xml:space="preserve">As explained below, Duquesne Light has entered into a stipulation with </w:t>
      </w:r>
      <w:r w:rsidR="00E70722" w:rsidRPr="00E951F4">
        <w:rPr>
          <w:rFonts w:eastAsiaTheme="minorHAnsi"/>
          <w:sz w:val="26"/>
          <w:szCs w:val="26"/>
        </w:rPr>
        <w:t xml:space="preserve">the </w:t>
      </w:r>
      <w:r w:rsidRPr="00E951F4">
        <w:rPr>
          <w:rFonts w:eastAsiaTheme="minorHAnsi"/>
          <w:sz w:val="26"/>
          <w:szCs w:val="26"/>
        </w:rPr>
        <w:t xml:space="preserve">OCA and CAUSE-PA regarding the SOP, which resolves all issues among those </w:t>
      </w:r>
      <w:r w:rsidR="001651D4" w:rsidRPr="00E951F4">
        <w:rPr>
          <w:rFonts w:eastAsiaTheme="minorHAnsi"/>
          <w:sz w:val="26"/>
          <w:szCs w:val="26"/>
        </w:rPr>
        <w:t>P</w:t>
      </w:r>
      <w:r w:rsidRPr="00E951F4">
        <w:rPr>
          <w:rFonts w:eastAsiaTheme="minorHAnsi"/>
          <w:sz w:val="26"/>
          <w:szCs w:val="26"/>
        </w:rPr>
        <w:t>arties as to the SOP.</w:t>
      </w:r>
    </w:p>
    <w:p w14:paraId="0D5CA27A" w14:textId="77777777" w:rsidR="009565A8" w:rsidRPr="00E951F4" w:rsidRDefault="009565A8" w:rsidP="00E951F4">
      <w:pPr>
        <w:widowControl/>
        <w:autoSpaceDE w:val="0"/>
        <w:autoSpaceDN w:val="0"/>
        <w:adjustRightInd w:val="0"/>
        <w:spacing w:line="360" w:lineRule="auto"/>
        <w:ind w:firstLine="1440"/>
        <w:rPr>
          <w:rFonts w:eastAsiaTheme="minorHAnsi"/>
          <w:sz w:val="26"/>
          <w:szCs w:val="26"/>
        </w:rPr>
      </w:pPr>
    </w:p>
    <w:p w14:paraId="09C07897" w14:textId="4F2ED477" w:rsidR="00EA64E1" w:rsidRPr="00E951F4" w:rsidRDefault="00EA64E1" w:rsidP="00E951F4">
      <w:pPr>
        <w:widowControl/>
        <w:autoSpaceDE w:val="0"/>
        <w:autoSpaceDN w:val="0"/>
        <w:adjustRightInd w:val="0"/>
        <w:spacing w:line="360" w:lineRule="auto"/>
        <w:ind w:firstLine="1440"/>
        <w:rPr>
          <w:rFonts w:eastAsiaTheme="minorHAnsi"/>
          <w:sz w:val="26"/>
          <w:szCs w:val="26"/>
        </w:rPr>
      </w:pPr>
      <w:r w:rsidRPr="00E951F4">
        <w:rPr>
          <w:rFonts w:eastAsiaTheme="minorHAnsi"/>
          <w:sz w:val="26"/>
          <w:szCs w:val="26"/>
        </w:rPr>
        <w:t xml:space="preserve">The EGS Parties did not oppose Duquesne Light’s proposal to outsource administration of the SOP to a third-party vendor. </w:t>
      </w:r>
      <w:r w:rsidR="009D30B8" w:rsidRPr="00E951F4">
        <w:rPr>
          <w:rFonts w:eastAsiaTheme="minorHAnsi"/>
          <w:sz w:val="26"/>
          <w:szCs w:val="26"/>
        </w:rPr>
        <w:t xml:space="preserve"> </w:t>
      </w:r>
      <w:r w:rsidRPr="00E951F4">
        <w:rPr>
          <w:rFonts w:eastAsiaTheme="minorHAnsi"/>
          <w:sz w:val="26"/>
          <w:szCs w:val="26"/>
        </w:rPr>
        <w:t xml:space="preserve">However, the EGS Parties argued that Duquesne Light should automatically enroll new and moving customers with an EGS, rather than being given the option to enroll in default service or choose an EGS. </w:t>
      </w:r>
      <w:r w:rsidR="009D30B8" w:rsidRPr="00E951F4">
        <w:rPr>
          <w:rFonts w:eastAsiaTheme="minorHAnsi"/>
          <w:sz w:val="26"/>
          <w:szCs w:val="26"/>
        </w:rPr>
        <w:t xml:space="preserve"> </w:t>
      </w:r>
      <w:r w:rsidRPr="00E951F4">
        <w:rPr>
          <w:rFonts w:eastAsiaTheme="minorHAnsi"/>
          <w:sz w:val="26"/>
          <w:szCs w:val="26"/>
        </w:rPr>
        <w:t xml:space="preserve">EGS Parties St. 1-SR at 2-3. </w:t>
      </w:r>
      <w:r w:rsidR="009D30B8" w:rsidRPr="00E951F4">
        <w:rPr>
          <w:rFonts w:eastAsiaTheme="minorHAnsi"/>
          <w:sz w:val="26"/>
          <w:szCs w:val="26"/>
        </w:rPr>
        <w:t xml:space="preserve"> </w:t>
      </w:r>
      <w:r w:rsidRPr="00E951F4">
        <w:rPr>
          <w:rFonts w:eastAsiaTheme="minorHAnsi"/>
          <w:sz w:val="26"/>
          <w:szCs w:val="26"/>
        </w:rPr>
        <w:t xml:space="preserve">The EGS Parties’ witness, Mr. </w:t>
      </w:r>
      <w:r w:rsidR="0019000A" w:rsidRPr="00E951F4">
        <w:rPr>
          <w:rFonts w:eastAsiaTheme="minorHAnsi"/>
          <w:sz w:val="26"/>
          <w:szCs w:val="26"/>
        </w:rPr>
        <w:t xml:space="preserve">Christopher H. </w:t>
      </w:r>
      <w:r w:rsidRPr="00E951F4">
        <w:rPr>
          <w:rFonts w:eastAsiaTheme="minorHAnsi"/>
          <w:sz w:val="26"/>
          <w:szCs w:val="26"/>
        </w:rPr>
        <w:t>Kallaher, admitted that this type of change could only be accomplished with input from a</w:t>
      </w:r>
      <w:r w:rsidR="00FB7F79" w:rsidRPr="00E951F4">
        <w:rPr>
          <w:rFonts w:eastAsiaTheme="minorHAnsi"/>
          <w:sz w:val="26"/>
          <w:szCs w:val="26"/>
        </w:rPr>
        <w:t xml:space="preserve"> </w:t>
      </w:r>
      <w:r w:rsidRPr="00E951F4">
        <w:rPr>
          <w:rFonts w:eastAsiaTheme="minorHAnsi"/>
          <w:sz w:val="26"/>
          <w:szCs w:val="26"/>
        </w:rPr>
        <w:t xml:space="preserve">broad range of stakeholders. </w:t>
      </w:r>
      <w:r w:rsidR="00460BCC" w:rsidRPr="00E951F4">
        <w:rPr>
          <w:rFonts w:eastAsiaTheme="minorHAnsi"/>
          <w:sz w:val="26"/>
          <w:szCs w:val="26"/>
        </w:rPr>
        <w:t xml:space="preserve"> </w:t>
      </w:r>
      <w:r w:rsidRPr="00E951F4">
        <w:rPr>
          <w:rFonts w:eastAsiaTheme="minorHAnsi"/>
          <w:sz w:val="26"/>
          <w:szCs w:val="26"/>
        </w:rPr>
        <w:t xml:space="preserve">EGS Parties St. 1-SR at 3.  They argued that the rationale for this recommendation is that the Competition Act never envisioned a vast majority of customers still receiving default service after twenty-five years.  EGS Parties. </w:t>
      </w:r>
      <w:r w:rsidR="009D30B8" w:rsidRPr="00E951F4">
        <w:rPr>
          <w:rFonts w:eastAsiaTheme="minorHAnsi"/>
          <w:sz w:val="26"/>
          <w:szCs w:val="26"/>
        </w:rPr>
        <w:t xml:space="preserve"> </w:t>
      </w:r>
      <w:r w:rsidRPr="00E951F4">
        <w:rPr>
          <w:rFonts w:eastAsiaTheme="minorHAnsi"/>
          <w:sz w:val="26"/>
          <w:szCs w:val="26"/>
        </w:rPr>
        <w:t>M.B. at 9.</w:t>
      </w:r>
    </w:p>
    <w:p w14:paraId="018D1FC2" w14:textId="77777777" w:rsidR="00EA64E1" w:rsidRPr="00E951F4" w:rsidRDefault="00EA64E1" w:rsidP="00E951F4">
      <w:pPr>
        <w:widowControl/>
        <w:autoSpaceDE w:val="0"/>
        <w:autoSpaceDN w:val="0"/>
        <w:adjustRightInd w:val="0"/>
        <w:spacing w:line="360" w:lineRule="auto"/>
        <w:ind w:firstLine="1440"/>
        <w:rPr>
          <w:rFonts w:eastAsiaTheme="minorHAnsi"/>
          <w:sz w:val="26"/>
          <w:szCs w:val="26"/>
        </w:rPr>
      </w:pPr>
    </w:p>
    <w:p w14:paraId="45ECC358" w14:textId="28D658B0" w:rsidR="00EA64E1" w:rsidRPr="00E951F4" w:rsidRDefault="00EA64E1" w:rsidP="00E951F4">
      <w:pPr>
        <w:pStyle w:val="Heading2"/>
        <w:numPr>
          <w:ilvl w:val="0"/>
          <w:numId w:val="50"/>
        </w:numPr>
        <w:spacing w:line="360" w:lineRule="auto"/>
        <w:ind w:hanging="720"/>
      </w:pPr>
      <w:bookmarkStart w:id="54" w:name="_Toc59620133"/>
      <w:bookmarkStart w:id="55" w:name="_Toc60912029"/>
      <w:r w:rsidRPr="00E951F4">
        <w:t>SOP Stipulation</w:t>
      </w:r>
      <w:bookmarkEnd w:id="54"/>
      <w:bookmarkEnd w:id="55"/>
    </w:p>
    <w:p w14:paraId="2C4B6D04" w14:textId="1E07F52C" w:rsidR="00EA64E1" w:rsidRPr="00E951F4" w:rsidRDefault="00EA64E1" w:rsidP="00E951F4">
      <w:pPr>
        <w:pStyle w:val="BodyText2"/>
        <w:keepNext/>
        <w:widowControl/>
        <w:spacing w:after="0" w:line="360" w:lineRule="auto"/>
        <w:rPr>
          <w:sz w:val="26"/>
          <w:szCs w:val="26"/>
        </w:rPr>
      </w:pPr>
    </w:p>
    <w:p w14:paraId="2CCEC671" w14:textId="340713CA" w:rsidR="00EA64E1" w:rsidRPr="00E951F4" w:rsidRDefault="00EA64E1" w:rsidP="00E951F4">
      <w:pPr>
        <w:keepNext/>
        <w:widowControl/>
        <w:autoSpaceDE w:val="0"/>
        <w:autoSpaceDN w:val="0"/>
        <w:adjustRightInd w:val="0"/>
        <w:spacing w:line="360" w:lineRule="auto"/>
        <w:ind w:firstLine="1440"/>
        <w:rPr>
          <w:rFonts w:eastAsiaTheme="minorHAnsi"/>
          <w:sz w:val="26"/>
          <w:szCs w:val="26"/>
        </w:rPr>
      </w:pPr>
      <w:r w:rsidRPr="00E951F4">
        <w:rPr>
          <w:rFonts w:eastAsiaTheme="minorHAnsi"/>
          <w:sz w:val="26"/>
          <w:szCs w:val="26"/>
        </w:rPr>
        <w:t xml:space="preserve">On September 30, 2020, Duquesne Light filed with the Commission an SOP stipulation between the Company, the OCA and CAUSE-PA. </w:t>
      </w:r>
      <w:r w:rsidR="00846AC1" w:rsidRPr="00E951F4">
        <w:rPr>
          <w:rFonts w:eastAsiaTheme="minorHAnsi"/>
          <w:sz w:val="26"/>
          <w:szCs w:val="26"/>
        </w:rPr>
        <w:t xml:space="preserve"> </w:t>
      </w:r>
      <w:r w:rsidRPr="00E951F4">
        <w:rPr>
          <w:rFonts w:eastAsiaTheme="minorHAnsi"/>
          <w:sz w:val="26"/>
          <w:szCs w:val="26"/>
        </w:rPr>
        <w:t>The Stipulation is set forth below:</w:t>
      </w:r>
    </w:p>
    <w:p w14:paraId="139F97CC" w14:textId="77777777" w:rsidR="00EA64E1" w:rsidRPr="00E951F4" w:rsidRDefault="00EA64E1" w:rsidP="00E951F4">
      <w:pPr>
        <w:widowControl/>
        <w:autoSpaceDE w:val="0"/>
        <w:autoSpaceDN w:val="0"/>
        <w:adjustRightInd w:val="0"/>
        <w:rPr>
          <w:rFonts w:eastAsiaTheme="minorHAnsi"/>
          <w:sz w:val="26"/>
          <w:szCs w:val="26"/>
        </w:rPr>
      </w:pPr>
    </w:p>
    <w:p w14:paraId="044613B2" w14:textId="379F65B3" w:rsidR="00EA64E1" w:rsidRPr="00E951F4" w:rsidRDefault="00EA64E1" w:rsidP="00E951F4">
      <w:pPr>
        <w:widowControl/>
        <w:autoSpaceDE w:val="0"/>
        <w:autoSpaceDN w:val="0"/>
        <w:adjustRightInd w:val="0"/>
        <w:ind w:left="1440" w:right="1440"/>
        <w:rPr>
          <w:rFonts w:eastAsiaTheme="minorHAnsi"/>
          <w:sz w:val="26"/>
          <w:szCs w:val="26"/>
        </w:rPr>
      </w:pPr>
      <w:r w:rsidRPr="00E951F4">
        <w:rPr>
          <w:rFonts w:eastAsiaTheme="minorHAnsi"/>
          <w:sz w:val="26"/>
          <w:szCs w:val="26"/>
        </w:rPr>
        <w:t xml:space="preserve">a. </w:t>
      </w:r>
      <w:r w:rsidR="00691B03" w:rsidRPr="00E951F4">
        <w:rPr>
          <w:rFonts w:eastAsiaTheme="minorHAnsi"/>
          <w:sz w:val="26"/>
          <w:szCs w:val="26"/>
        </w:rPr>
        <w:tab/>
      </w:r>
      <w:r w:rsidRPr="00E951F4">
        <w:rPr>
          <w:rFonts w:eastAsiaTheme="minorHAnsi"/>
          <w:sz w:val="26"/>
          <w:szCs w:val="26"/>
        </w:rPr>
        <w:t xml:space="preserve">Per its initial proposal, DLC will outsource administration of the SOP to a third party, initially Allconnect. </w:t>
      </w:r>
      <w:r w:rsidR="009D30B8" w:rsidRPr="00E951F4">
        <w:rPr>
          <w:rFonts w:eastAsiaTheme="minorHAnsi"/>
          <w:sz w:val="26"/>
          <w:szCs w:val="26"/>
        </w:rPr>
        <w:t xml:space="preserve"> </w:t>
      </w:r>
      <w:r w:rsidRPr="00E951F4">
        <w:rPr>
          <w:rFonts w:eastAsiaTheme="minorHAnsi"/>
          <w:sz w:val="26"/>
          <w:szCs w:val="26"/>
        </w:rPr>
        <w:t xml:space="preserve">The costs associated with the third party administrator will be recovered, as proposed by DLC, from participating EGSs. </w:t>
      </w:r>
      <w:r w:rsidR="009D30B8" w:rsidRPr="00E951F4">
        <w:rPr>
          <w:rFonts w:eastAsiaTheme="minorHAnsi"/>
          <w:sz w:val="26"/>
          <w:szCs w:val="26"/>
        </w:rPr>
        <w:t xml:space="preserve"> </w:t>
      </w:r>
      <w:r w:rsidRPr="00E951F4">
        <w:rPr>
          <w:rFonts w:eastAsiaTheme="minorHAnsi"/>
          <w:sz w:val="26"/>
          <w:szCs w:val="26"/>
        </w:rPr>
        <w:t>As part of its transition to Allconnect, DLC agrees to develop customer education scripts that are consistent with the practices of Pennsylvania’s EDCs that currently</w:t>
      </w:r>
      <w:r w:rsidR="00691B03" w:rsidRPr="00E951F4">
        <w:rPr>
          <w:rFonts w:eastAsiaTheme="minorHAnsi"/>
          <w:sz w:val="26"/>
          <w:szCs w:val="26"/>
        </w:rPr>
        <w:t xml:space="preserve"> </w:t>
      </w:r>
      <w:r w:rsidRPr="00E951F4">
        <w:rPr>
          <w:rFonts w:eastAsiaTheme="minorHAnsi"/>
          <w:sz w:val="26"/>
          <w:szCs w:val="26"/>
        </w:rPr>
        <w:t xml:space="preserve">utilize third party SOP administrators. </w:t>
      </w:r>
      <w:r w:rsidR="009D30B8" w:rsidRPr="00E951F4">
        <w:rPr>
          <w:rFonts w:eastAsiaTheme="minorHAnsi"/>
          <w:sz w:val="26"/>
          <w:szCs w:val="26"/>
        </w:rPr>
        <w:t xml:space="preserve"> </w:t>
      </w:r>
      <w:r w:rsidRPr="00E951F4">
        <w:rPr>
          <w:rFonts w:eastAsiaTheme="minorHAnsi"/>
          <w:sz w:val="26"/>
          <w:szCs w:val="26"/>
        </w:rPr>
        <w:t>DLC will provide these</w:t>
      </w:r>
      <w:r w:rsidR="009D30B8" w:rsidRPr="00E951F4">
        <w:rPr>
          <w:rFonts w:eastAsiaTheme="minorHAnsi"/>
          <w:sz w:val="26"/>
          <w:szCs w:val="26"/>
        </w:rPr>
        <w:t xml:space="preserve"> </w:t>
      </w:r>
      <w:r w:rsidRPr="00E951F4">
        <w:rPr>
          <w:rFonts w:eastAsiaTheme="minorHAnsi"/>
          <w:sz w:val="26"/>
          <w:szCs w:val="26"/>
        </w:rPr>
        <w:t xml:space="preserve">scripts to the parties for review/comment. </w:t>
      </w:r>
      <w:r w:rsidR="009D30B8" w:rsidRPr="00E951F4">
        <w:rPr>
          <w:rFonts w:eastAsiaTheme="minorHAnsi"/>
          <w:sz w:val="26"/>
          <w:szCs w:val="26"/>
        </w:rPr>
        <w:t xml:space="preserve"> </w:t>
      </w:r>
      <w:r w:rsidRPr="00E951F4">
        <w:rPr>
          <w:rFonts w:eastAsiaTheme="minorHAnsi"/>
          <w:sz w:val="26"/>
          <w:szCs w:val="26"/>
        </w:rPr>
        <w:t xml:space="preserve">Upon implementation of such scripting, DLC agrees to monitor Allconnect’s adherence to the scripts at regular intervals to ensure compliance and provide a report of its </w:t>
      </w:r>
      <w:r w:rsidRPr="00E951F4">
        <w:rPr>
          <w:rFonts w:eastAsiaTheme="minorHAnsi"/>
          <w:sz w:val="26"/>
          <w:szCs w:val="26"/>
        </w:rPr>
        <w:lastRenderedPageBreak/>
        <w:t>efforts at the midpoint of DSP IX, including a random sampling of call recordings of monitored solicitations, as part of</w:t>
      </w:r>
      <w:r w:rsidR="00691B03" w:rsidRPr="00E951F4">
        <w:rPr>
          <w:rFonts w:eastAsiaTheme="minorHAnsi"/>
          <w:sz w:val="26"/>
          <w:szCs w:val="26"/>
        </w:rPr>
        <w:t xml:space="preserve"> </w:t>
      </w:r>
      <w:r w:rsidRPr="00E951F4">
        <w:rPr>
          <w:rFonts w:eastAsiaTheme="minorHAnsi"/>
          <w:sz w:val="26"/>
          <w:szCs w:val="26"/>
        </w:rPr>
        <w:t xml:space="preserve">such report. </w:t>
      </w:r>
      <w:r w:rsidR="009D30B8" w:rsidRPr="00E951F4">
        <w:rPr>
          <w:rFonts w:eastAsiaTheme="minorHAnsi"/>
          <w:sz w:val="26"/>
          <w:szCs w:val="26"/>
        </w:rPr>
        <w:t xml:space="preserve"> </w:t>
      </w:r>
      <w:r w:rsidRPr="00E951F4">
        <w:rPr>
          <w:rFonts w:eastAsiaTheme="minorHAnsi"/>
          <w:sz w:val="26"/>
          <w:szCs w:val="26"/>
        </w:rPr>
        <w:t>Additionally, DLC will provide a report in its next Default Service filing that will document the third party</w:t>
      </w:r>
      <w:r w:rsidR="00691B03" w:rsidRPr="00E951F4">
        <w:rPr>
          <w:rFonts w:eastAsiaTheme="minorHAnsi"/>
          <w:sz w:val="26"/>
          <w:szCs w:val="26"/>
        </w:rPr>
        <w:t xml:space="preserve"> </w:t>
      </w:r>
      <w:r w:rsidRPr="00E951F4">
        <w:rPr>
          <w:rFonts w:eastAsiaTheme="minorHAnsi"/>
          <w:sz w:val="26"/>
          <w:szCs w:val="26"/>
        </w:rPr>
        <w:t>administrator’s compliance with the Company’s SOP directives.</w:t>
      </w:r>
    </w:p>
    <w:p w14:paraId="0F6E44D2" w14:textId="77777777" w:rsidR="00EA64E1" w:rsidRPr="00E951F4" w:rsidRDefault="00EA64E1" w:rsidP="00E951F4">
      <w:pPr>
        <w:widowControl/>
        <w:ind w:left="1440" w:right="1440"/>
        <w:rPr>
          <w:rFonts w:eastAsiaTheme="minorHAnsi"/>
          <w:sz w:val="26"/>
          <w:szCs w:val="26"/>
        </w:rPr>
      </w:pPr>
    </w:p>
    <w:p w14:paraId="4B452987" w14:textId="790D4DFA" w:rsidR="00EA64E1" w:rsidRPr="00E951F4" w:rsidRDefault="00EA64E1" w:rsidP="00E951F4">
      <w:pPr>
        <w:widowControl/>
        <w:autoSpaceDE w:val="0"/>
        <w:autoSpaceDN w:val="0"/>
        <w:adjustRightInd w:val="0"/>
        <w:ind w:left="1440" w:right="1440"/>
        <w:rPr>
          <w:rFonts w:eastAsiaTheme="minorHAnsi"/>
          <w:sz w:val="26"/>
          <w:szCs w:val="26"/>
        </w:rPr>
      </w:pPr>
      <w:r w:rsidRPr="00E951F4">
        <w:rPr>
          <w:rFonts w:eastAsiaTheme="minorHAnsi"/>
          <w:sz w:val="26"/>
          <w:szCs w:val="26"/>
        </w:rPr>
        <w:t xml:space="preserve">b. </w:t>
      </w:r>
      <w:r w:rsidR="00691B03" w:rsidRPr="00E951F4">
        <w:rPr>
          <w:rFonts w:eastAsiaTheme="minorHAnsi"/>
          <w:sz w:val="26"/>
          <w:szCs w:val="26"/>
        </w:rPr>
        <w:tab/>
      </w:r>
      <w:r w:rsidRPr="00E951F4">
        <w:rPr>
          <w:rFonts w:eastAsiaTheme="minorHAnsi"/>
          <w:sz w:val="26"/>
          <w:szCs w:val="26"/>
        </w:rPr>
        <w:t>DLC will continue its current practice of referring eligible</w:t>
      </w:r>
      <w:r w:rsidR="00691B03" w:rsidRPr="00E951F4">
        <w:rPr>
          <w:rFonts w:eastAsiaTheme="minorHAnsi"/>
          <w:sz w:val="26"/>
          <w:szCs w:val="26"/>
        </w:rPr>
        <w:t xml:space="preserve"> </w:t>
      </w:r>
      <w:r w:rsidRPr="00E951F4">
        <w:rPr>
          <w:rFonts w:eastAsiaTheme="minorHAnsi"/>
          <w:sz w:val="26"/>
          <w:szCs w:val="26"/>
        </w:rPr>
        <w:t>customers to SOP, rather than automatically placing them into SOP.</w:t>
      </w:r>
    </w:p>
    <w:p w14:paraId="37570905" w14:textId="77777777" w:rsidR="00EA64E1" w:rsidRPr="00E951F4" w:rsidRDefault="00EA64E1" w:rsidP="00E951F4">
      <w:pPr>
        <w:widowControl/>
        <w:autoSpaceDE w:val="0"/>
        <w:autoSpaceDN w:val="0"/>
        <w:adjustRightInd w:val="0"/>
        <w:ind w:left="1440" w:right="1440"/>
        <w:rPr>
          <w:rFonts w:eastAsiaTheme="minorHAnsi"/>
          <w:sz w:val="26"/>
          <w:szCs w:val="26"/>
        </w:rPr>
      </w:pPr>
    </w:p>
    <w:p w14:paraId="5CC8273B" w14:textId="0E757ABE" w:rsidR="00EA64E1" w:rsidRPr="00E951F4" w:rsidRDefault="00EA64E1" w:rsidP="00E951F4">
      <w:pPr>
        <w:widowControl/>
        <w:autoSpaceDE w:val="0"/>
        <w:autoSpaceDN w:val="0"/>
        <w:adjustRightInd w:val="0"/>
        <w:ind w:left="1440" w:right="1440"/>
        <w:rPr>
          <w:rFonts w:eastAsiaTheme="minorHAnsi"/>
          <w:sz w:val="26"/>
          <w:szCs w:val="26"/>
        </w:rPr>
      </w:pPr>
      <w:r w:rsidRPr="00E951F4">
        <w:rPr>
          <w:rFonts w:eastAsiaTheme="minorHAnsi"/>
          <w:sz w:val="26"/>
          <w:szCs w:val="26"/>
        </w:rPr>
        <w:t xml:space="preserve">c. </w:t>
      </w:r>
      <w:r w:rsidR="00691B03" w:rsidRPr="00E951F4">
        <w:rPr>
          <w:rFonts w:eastAsiaTheme="minorHAnsi"/>
          <w:sz w:val="26"/>
          <w:szCs w:val="26"/>
        </w:rPr>
        <w:tab/>
      </w:r>
      <w:r w:rsidRPr="00E951F4">
        <w:rPr>
          <w:rFonts w:eastAsiaTheme="minorHAnsi"/>
          <w:sz w:val="26"/>
          <w:szCs w:val="26"/>
        </w:rPr>
        <w:t>DLC will continue its current practice of allowing SOP</w:t>
      </w:r>
      <w:r w:rsidR="00691B03" w:rsidRPr="00E951F4">
        <w:rPr>
          <w:rFonts w:eastAsiaTheme="minorHAnsi"/>
          <w:sz w:val="26"/>
          <w:szCs w:val="26"/>
        </w:rPr>
        <w:t xml:space="preserve"> </w:t>
      </w:r>
      <w:r w:rsidRPr="00E951F4">
        <w:rPr>
          <w:rFonts w:eastAsiaTheme="minorHAnsi"/>
          <w:sz w:val="26"/>
          <w:szCs w:val="26"/>
        </w:rPr>
        <w:t>participants to remain with their EGS following the initial 12-month SOP period, absent affirmative action by the customer.</w:t>
      </w:r>
    </w:p>
    <w:p w14:paraId="166A0F60" w14:textId="77777777" w:rsidR="009D30B8" w:rsidRPr="00E951F4" w:rsidRDefault="009D30B8" w:rsidP="00E951F4">
      <w:pPr>
        <w:widowControl/>
        <w:autoSpaceDE w:val="0"/>
        <w:autoSpaceDN w:val="0"/>
        <w:adjustRightInd w:val="0"/>
        <w:ind w:left="1440" w:right="1440"/>
        <w:rPr>
          <w:rFonts w:eastAsiaTheme="minorHAnsi"/>
          <w:sz w:val="26"/>
          <w:szCs w:val="26"/>
        </w:rPr>
      </w:pPr>
    </w:p>
    <w:p w14:paraId="650A2EBE" w14:textId="4BF27582" w:rsidR="00EA64E1" w:rsidRPr="00E951F4" w:rsidRDefault="00EA64E1" w:rsidP="00E951F4">
      <w:pPr>
        <w:widowControl/>
        <w:autoSpaceDE w:val="0"/>
        <w:autoSpaceDN w:val="0"/>
        <w:adjustRightInd w:val="0"/>
        <w:ind w:left="1440" w:right="1440"/>
        <w:rPr>
          <w:rFonts w:eastAsiaTheme="minorHAnsi"/>
          <w:sz w:val="26"/>
          <w:szCs w:val="26"/>
        </w:rPr>
      </w:pPr>
      <w:r w:rsidRPr="00E951F4">
        <w:rPr>
          <w:rFonts w:eastAsiaTheme="minorHAnsi"/>
          <w:sz w:val="26"/>
          <w:szCs w:val="26"/>
        </w:rPr>
        <w:t xml:space="preserve">d. </w:t>
      </w:r>
      <w:r w:rsidR="00691B03" w:rsidRPr="00E951F4">
        <w:rPr>
          <w:rFonts w:eastAsiaTheme="minorHAnsi"/>
          <w:sz w:val="26"/>
          <w:szCs w:val="26"/>
        </w:rPr>
        <w:tab/>
      </w:r>
      <w:r w:rsidRPr="00E951F4">
        <w:rPr>
          <w:rFonts w:eastAsiaTheme="minorHAnsi"/>
          <w:sz w:val="26"/>
          <w:szCs w:val="26"/>
        </w:rPr>
        <w:t>DLC will add a section to the “Customer Choice” page of its website that specifically addresses SOP and participating</w:t>
      </w:r>
      <w:r w:rsidR="00691B03" w:rsidRPr="00E951F4">
        <w:rPr>
          <w:rFonts w:eastAsiaTheme="minorHAnsi"/>
          <w:sz w:val="26"/>
          <w:szCs w:val="26"/>
        </w:rPr>
        <w:t xml:space="preserve"> </w:t>
      </w:r>
      <w:r w:rsidRPr="00E951F4">
        <w:rPr>
          <w:rFonts w:eastAsiaTheme="minorHAnsi"/>
          <w:sz w:val="26"/>
          <w:szCs w:val="26"/>
        </w:rPr>
        <w:t>customers’ options upon expiration of their initial 12-month SOP contract.</w:t>
      </w:r>
    </w:p>
    <w:p w14:paraId="52B00E55" w14:textId="77777777" w:rsidR="00EA64E1" w:rsidRPr="00E951F4" w:rsidRDefault="00EA64E1" w:rsidP="00E951F4">
      <w:pPr>
        <w:widowControl/>
        <w:autoSpaceDE w:val="0"/>
        <w:autoSpaceDN w:val="0"/>
        <w:adjustRightInd w:val="0"/>
        <w:ind w:left="1440" w:right="1440"/>
        <w:rPr>
          <w:rFonts w:eastAsiaTheme="minorHAnsi"/>
          <w:sz w:val="26"/>
          <w:szCs w:val="26"/>
        </w:rPr>
      </w:pPr>
    </w:p>
    <w:p w14:paraId="4722AE84" w14:textId="670F7832" w:rsidR="00EA64E1" w:rsidRPr="00E951F4" w:rsidRDefault="00EA64E1" w:rsidP="00E951F4">
      <w:pPr>
        <w:keepNext/>
        <w:widowControl/>
        <w:autoSpaceDE w:val="0"/>
        <w:autoSpaceDN w:val="0"/>
        <w:adjustRightInd w:val="0"/>
        <w:ind w:left="1440" w:right="1440"/>
        <w:rPr>
          <w:rFonts w:eastAsiaTheme="minorHAnsi"/>
          <w:sz w:val="26"/>
          <w:szCs w:val="26"/>
        </w:rPr>
      </w:pPr>
      <w:r w:rsidRPr="00E951F4">
        <w:rPr>
          <w:rFonts w:eastAsiaTheme="minorHAnsi"/>
          <w:sz w:val="26"/>
          <w:szCs w:val="26"/>
        </w:rPr>
        <w:t xml:space="preserve">e. </w:t>
      </w:r>
      <w:r w:rsidR="00691B03" w:rsidRPr="00E951F4">
        <w:rPr>
          <w:rFonts w:eastAsiaTheme="minorHAnsi"/>
          <w:sz w:val="26"/>
          <w:szCs w:val="26"/>
        </w:rPr>
        <w:tab/>
      </w:r>
      <w:r w:rsidRPr="00E951F4">
        <w:rPr>
          <w:rFonts w:eastAsiaTheme="minorHAnsi"/>
          <w:sz w:val="26"/>
          <w:szCs w:val="26"/>
        </w:rPr>
        <w:t>DLC will conduct an analysis of SOP participants’ effective supply rates following their initial 12-month SOP period, and will present results annually beginning in 2022.</w:t>
      </w:r>
    </w:p>
    <w:p w14:paraId="188DDD6A" w14:textId="3E37BDC8" w:rsidR="00EA64E1" w:rsidRPr="00E951F4" w:rsidRDefault="00EA64E1" w:rsidP="00E951F4">
      <w:pPr>
        <w:keepNext/>
        <w:widowControl/>
        <w:spacing w:line="360" w:lineRule="auto"/>
        <w:contextualSpacing/>
        <w:rPr>
          <w:rFonts w:eastAsiaTheme="minorHAnsi"/>
          <w:sz w:val="26"/>
          <w:szCs w:val="26"/>
        </w:rPr>
      </w:pPr>
    </w:p>
    <w:p w14:paraId="7B7871F7" w14:textId="0CE04809" w:rsidR="00EE6EEE" w:rsidRPr="00E951F4" w:rsidRDefault="00EE6EEE" w:rsidP="00E951F4">
      <w:pPr>
        <w:keepNext/>
        <w:widowControl/>
        <w:spacing w:line="360" w:lineRule="auto"/>
        <w:contextualSpacing/>
        <w:rPr>
          <w:rFonts w:eastAsiaTheme="minorHAnsi"/>
          <w:sz w:val="26"/>
          <w:szCs w:val="26"/>
        </w:rPr>
      </w:pPr>
      <w:r w:rsidRPr="00E951F4">
        <w:rPr>
          <w:rFonts w:eastAsiaTheme="minorHAnsi"/>
          <w:sz w:val="26"/>
          <w:szCs w:val="26"/>
        </w:rPr>
        <w:t>SOP Stipulation at 1-2.</w:t>
      </w:r>
    </w:p>
    <w:p w14:paraId="04655342" w14:textId="77777777" w:rsidR="00EE6EEE" w:rsidRPr="00E951F4" w:rsidRDefault="00EE6EEE" w:rsidP="00E951F4">
      <w:pPr>
        <w:widowControl/>
        <w:autoSpaceDE w:val="0"/>
        <w:autoSpaceDN w:val="0"/>
        <w:adjustRightInd w:val="0"/>
        <w:spacing w:line="360" w:lineRule="auto"/>
        <w:ind w:firstLine="1440"/>
        <w:rPr>
          <w:rFonts w:eastAsiaTheme="minorHAnsi"/>
          <w:sz w:val="26"/>
          <w:szCs w:val="26"/>
        </w:rPr>
      </w:pPr>
    </w:p>
    <w:p w14:paraId="1573EEB9" w14:textId="0308D1CD" w:rsidR="00EA64E1" w:rsidRPr="00E951F4" w:rsidRDefault="00EA64E1" w:rsidP="00E951F4">
      <w:pPr>
        <w:widowControl/>
        <w:autoSpaceDE w:val="0"/>
        <w:autoSpaceDN w:val="0"/>
        <w:adjustRightInd w:val="0"/>
        <w:spacing w:line="360" w:lineRule="auto"/>
        <w:ind w:firstLine="1440"/>
        <w:rPr>
          <w:rFonts w:eastAsiaTheme="minorHAnsi"/>
          <w:sz w:val="26"/>
          <w:szCs w:val="26"/>
        </w:rPr>
      </w:pPr>
      <w:r w:rsidRPr="00E951F4">
        <w:rPr>
          <w:rFonts w:eastAsiaTheme="minorHAnsi"/>
          <w:sz w:val="26"/>
          <w:szCs w:val="26"/>
        </w:rPr>
        <w:t>The Stipulation adopts the Company’s proposal to outsource administration of the SOP to a third-party vendor.  This makes the Company’s SOP administration consistent with the other EDCs in Pennsylvania and allows the Company’s CSRs to focus on addressing other customer issues.</w:t>
      </w:r>
    </w:p>
    <w:p w14:paraId="1B99E010" w14:textId="77777777" w:rsidR="00EA64E1" w:rsidRPr="00E951F4" w:rsidRDefault="00EA64E1" w:rsidP="00E951F4">
      <w:pPr>
        <w:widowControl/>
        <w:autoSpaceDE w:val="0"/>
        <w:autoSpaceDN w:val="0"/>
        <w:adjustRightInd w:val="0"/>
        <w:spacing w:line="360" w:lineRule="auto"/>
        <w:ind w:firstLine="1440"/>
        <w:rPr>
          <w:rFonts w:eastAsiaTheme="minorHAnsi"/>
          <w:sz w:val="26"/>
          <w:szCs w:val="26"/>
        </w:rPr>
      </w:pPr>
    </w:p>
    <w:p w14:paraId="793589C5" w14:textId="65BE9DF2" w:rsidR="00EA64E1" w:rsidRPr="00E951F4" w:rsidRDefault="00EA64E1" w:rsidP="00E951F4">
      <w:pPr>
        <w:widowControl/>
        <w:autoSpaceDE w:val="0"/>
        <w:autoSpaceDN w:val="0"/>
        <w:adjustRightInd w:val="0"/>
        <w:spacing w:line="360" w:lineRule="auto"/>
        <w:ind w:firstLine="1440"/>
        <w:rPr>
          <w:rFonts w:eastAsiaTheme="minorHAnsi"/>
          <w:sz w:val="26"/>
          <w:szCs w:val="26"/>
        </w:rPr>
      </w:pPr>
      <w:r w:rsidRPr="00E951F4">
        <w:rPr>
          <w:rFonts w:eastAsiaTheme="minorHAnsi"/>
          <w:sz w:val="26"/>
          <w:szCs w:val="26"/>
        </w:rPr>
        <w:t xml:space="preserve">The Stipulation also addresses customer protection concerns raised by the OCA, including revised scripting, and ensures additional education regarding customer options upon expiration of the initial 12-month SOP contract. </w:t>
      </w:r>
      <w:r w:rsidR="009D30B8" w:rsidRPr="00E951F4">
        <w:rPr>
          <w:rFonts w:eastAsiaTheme="minorHAnsi"/>
          <w:sz w:val="26"/>
          <w:szCs w:val="26"/>
        </w:rPr>
        <w:t xml:space="preserve"> </w:t>
      </w:r>
      <w:r w:rsidRPr="00E951F4">
        <w:rPr>
          <w:rFonts w:eastAsiaTheme="minorHAnsi"/>
          <w:sz w:val="26"/>
          <w:szCs w:val="26"/>
        </w:rPr>
        <w:t xml:space="preserve">In addition, the Stipulation adopts the OCA’s proposal to conduct an analysis regarding SOP participants supply rates following their initial 12-month SOP period. </w:t>
      </w:r>
      <w:r w:rsidR="009D30B8" w:rsidRPr="00E951F4">
        <w:rPr>
          <w:rFonts w:eastAsiaTheme="minorHAnsi"/>
          <w:sz w:val="26"/>
          <w:szCs w:val="26"/>
        </w:rPr>
        <w:t xml:space="preserve"> </w:t>
      </w:r>
      <w:r w:rsidRPr="00E951F4">
        <w:rPr>
          <w:rFonts w:eastAsiaTheme="minorHAnsi"/>
          <w:sz w:val="26"/>
          <w:szCs w:val="26"/>
        </w:rPr>
        <w:t xml:space="preserve">This analysis will give parties and the </w:t>
      </w:r>
      <w:r w:rsidRPr="00E951F4">
        <w:rPr>
          <w:rFonts w:eastAsiaTheme="minorHAnsi"/>
          <w:sz w:val="26"/>
          <w:szCs w:val="26"/>
        </w:rPr>
        <w:lastRenderedPageBreak/>
        <w:t>Commission additional information regarding the price impacts to customers after their SOP term expires.</w:t>
      </w:r>
    </w:p>
    <w:p w14:paraId="5CBE2D7F" w14:textId="77777777" w:rsidR="007864C0" w:rsidRPr="00E951F4" w:rsidRDefault="007864C0" w:rsidP="00E951F4">
      <w:pPr>
        <w:widowControl/>
        <w:autoSpaceDE w:val="0"/>
        <w:autoSpaceDN w:val="0"/>
        <w:adjustRightInd w:val="0"/>
        <w:spacing w:line="360" w:lineRule="auto"/>
        <w:ind w:firstLine="1440"/>
        <w:rPr>
          <w:rFonts w:eastAsiaTheme="minorHAnsi"/>
          <w:sz w:val="26"/>
          <w:szCs w:val="26"/>
        </w:rPr>
      </w:pPr>
    </w:p>
    <w:p w14:paraId="30156A13" w14:textId="630442B6" w:rsidR="00EA64E1" w:rsidRPr="00E951F4" w:rsidRDefault="00EA64E1" w:rsidP="00E951F4">
      <w:pPr>
        <w:widowControl/>
        <w:autoSpaceDE w:val="0"/>
        <w:autoSpaceDN w:val="0"/>
        <w:adjustRightInd w:val="0"/>
        <w:spacing w:line="360" w:lineRule="auto"/>
        <w:ind w:firstLine="1440"/>
        <w:rPr>
          <w:rFonts w:eastAsiaTheme="minorHAnsi"/>
          <w:sz w:val="26"/>
          <w:szCs w:val="26"/>
        </w:rPr>
      </w:pPr>
      <w:r w:rsidRPr="00E951F4">
        <w:rPr>
          <w:rFonts w:eastAsiaTheme="minorHAnsi"/>
          <w:sz w:val="26"/>
          <w:szCs w:val="26"/>
        </w:rPr>
        <w:t xml:space="preserve">Duquesne Light believes that this SOP Stipulation is a reasonable compromise of the stipulating parties’ positions and asks that the Stipulation be adopted without modification.  </w:t>
      </w:r>
    </w:p>
    <w:p w14:paraId="4320D131" w14:textId="5D06175F" w:rsidR="00EA64E1" w:rsidRPr="00E951F4" w:rsidRDefault="00EA64E1" w:rsidP="00E951F4">
      <w:pPr>
        <w:widowControl/>
        <w:autoSpaceDE w:val="0"/>
        <w:autoSpaceDN w:val="0"/>
        <w:adjustRightInd w:val="0"/>
        <w:spacing w:line="360" w:lineRule="auto"/>
        <w:rPr>
          <w:rFonts w:eastAsiaTheme="minorHAnsi"/>
          <w:sz w:val="26"/>
          <w:szCs w:val="26"/>
        </w:rPr>
      </w:pPr>
    </w:p>
    <w:p w14:paraId="4DBB77CB" w14:textId="397F486C" w:rsidR="00EA64E1" w:rsidRPr="00E951F4" w:rsidRDefault="00EA64E1" w:rsidP="00E951F4">
      <w:pPr>
        <w:pStyle w:val="Heading2"/>
        <w:spacing w:line="360" w:lineRule="auto"/>
        <w:rPr>
          <w:rFonts w:eastAsiaTheme="minorHAnsi"/>
        </w:rPr>
      </w:pPr>
      <w:bookmarkStart w:id="56" w:name="_Toc59620134"/>
      <w:bookmarkStart w:id="57" w:name="_Toc60912030"/>
      <w:r w:rsidRPr="00E951F4">
        <w:rPr>
          <w:rFonts w:eastAsiaTheme="minorHAnsi"/>
        </w:rPr>
        <w:t>C.</w:t>
      </w:r>
      <w:r w:rsidRPr="00E951F4">
        <w:rPr>
          <w:rFonts w:eastAsiaTheme="minorHAnsi"/>
        </w:rPr>
        <w:tab/>
        <w:t>Recommended Decision</w:t>
      </w:r>
      <w:bookmarkEnd w:id="56"/>
      <w:bookmarkEnd w:id="57"/>
    </w:p>
    <w:p w14:paraId="630A1B0B" w14:textId="15BC5D99" w:rsidR="00EA64E1" w:rsidRPr="00E951F4" w:rsidRDefault="00EA64E1" w:rsidP="00E951F4">
      <w:pPr>
        <w:pStyle w:val="BodyText2"/>
        <w:keepNext/>
        <w:widowControl/>
        <w:spacing w:after="0" w:line="360" w:lineRule="auto"/>
        <w:rPr>
          <w:rFonts w:eastAsiaTheme="minorHAnsi"/>
          <w:sz w:val="26"/>
          <w:szCs w:val="26"/>
        </w:rPr>
      </w:pPr>
    </w:p>
    <w:p w14:paraId="0608D9B9" w14:textId="77777777" w:rsidR="00EA64E1" w:rsidRPr="00E951F4" w:rsidRDefault="00EA64E1" w:rsidP="00E951F4">
      <w:pPr>
        <w:keepNext/>
        <w:widowControl/>
        <w:spacing w:line="360" w:lineRule="auto"/>
        <w:ind w:firstLine="1440"/>
        <w:contextualSpacing/>
        <w:rPr>
          <w:sz w:val="26"/>
          <w:szCs w:val="26"/>
        </w:rPr>
      </w:pPr>
      <w:r w:rsidRPr="00E951F4">
        <w:rPr>
          <w:sz w:val="26"/>
          <w:szCs w:val="26"/>
        </w:rPr>
        <w:t xml:space="preserve">The ALJ’s discussion of the SOP issues is on pages 51-55 of the Recommended Decision.  </w:t>
      </w:r>
    </w:p>
    <w:p w14:paraId="1C954355" w14:textId="77777777" w:rsidR="00EA64E1" w:rsidRPr="00E951F4" w:rsidRDefault="00EA64E1" w:rsidP="00E951F4">
      <w:pPr>
        <w:widowControl/>
        <w:spacing w:line="360" w:lineRule="auto"/>
        <w:ind w:firstLine="1440"/>
        <w:contextualSpacing/>
        <w:rPr>
          <w:rFonts w:eastAsiaTheme="minorHAnsi"/>
          <w:sz w:val="26"/>
          <w:szCs w:val="26"/>
        </w:rPr>
      </w:pPr>
    </w:p>
    <w:p w14:paraId="2544E567" w14:textId="4377BA60" w:rsidR="00EA64E1" w:rsidRPr="00E951F4" w:rsidRDefault="00EA64E1" w:rsidP="00E951F4">
      <w:pPr>
        <w:widowControl/>
        <w:spacing w:line="360" w:lineRule="auto"/>
        <w:ind w:firstLine="1440"/>
        <w:contextualSpacing/>
        <w:rPr>
          <w:sz w:val="26"/>
          <w:szCs w:val="26"/>
        </w:rPr>
      </w:pPr>
      <w:r w:rsidRPr="00E951F4">
        <w:rPr>
          <w:rFonts w:eastAsiaTheme="minorHAnsi"/>
          <w:sz w:val="26"/>
          <w:szCs w:val="26"/>
        </w:rPr>
        <w:t>Regarding the EGS Parties’ proposal, the ALJ found that there is nothing in the Competition Act that supports the EGS</w:t>
      </w:r>
      <w:r w:rsidR="008048F3" w:rsidRPr="00E951F4">
        <w:rPr>
          <w:rFonts w:eastAsiaTheme="minorHAnsi"/>
          <w:sz w:val="26"/>
          <w:szCs w:val="26"/>
        </w:rPr>
        <w:t xml:space="preserve"> Parties</w:t>
      </w:r>
      <w:r w:rsidRPr="00E951F4">
        <w:rPr>
          <w:rFonts w:eastAsiaTheme="minorHAnsi"/>
          <w:sz w:val="26"/>
          <w:szCs w:val="26"/>
        </w:rPr>
        <w:t xml:space="preserve">’ position that the Competition Act did not envision customers still taking default service after twenty-five years.  R.D. at 54. </w:t>
      </w:r>
      <w:r w:rsidR="009D30B8" w:rsidRPr="00E951F4">
        <w:rPr>
          <w:rFonts w:eastAsiaTheme="minorHAnsi"/>
          <w:sz w:val="26"/>
          <w:szCs w:val="26"/>
        </w:rPr>
        <w:t xml:space="preserve"> </w:t>
      </w:r>
      <w:r w:rsidRPr="00E951F4">
        <w:rPr>
          <w:rFonts w:eastAsiaTheme="minorHAnsi"/>
          <w:sz w:val="26"/>
          <w:szCs w:val="26"/>
        </w:rPr>
        <w:t xml:space="preserve">The ALJ reasoned that the Act’s short title is the Choice and Competition Act, which makes it clear from the start that the Act is about customer choice. </w:t>
      </w:r>
      <w:r w:rsidR="009D30B8" w:rsidRPr="00E951F4">
        <w:rPr>
          <w:rFonts w:eastAsiaTheme="minorHAnsi"/>
          <w:sz w:val="26"/>
          <w:szCs w:val="26"/>
        </w:rPr>
        <w:t xml:space="preserve"> </w:t>
      </w:r>
      <w:r w:rsidRPr="00E951F4">
        <w:rPr>
          <w:rFonts w:eastAsiaTheme="minorHAnsi"/>
          <w:sz w:val="26"/>
          <w:szCs w:val="26"/>
        </w:rPr>
        <w:t xml:space="preserve">Further, the Act requires that there be a Default Service Supplier even if the EDC is replaced in this responsibility. </w:t>
      </w:r>
      <w:r w:rsidR="00C67D26" w:rsidRPr="00E951F4">
        <w:rPr>
          <w:rFonts w:eastAsiaTheme="minorHAnsi"/>
          <w:sz w:val="26"/>
          <w:szCs w:val="26"/>
        </w:rPr>
        <w:t xml:space="preserve"> </w:t>
      </w:r>
      <w:r w:rsidRPr="00E951F4">
        <w:rPr>
          <w:rFonts w:eastAsiaTheme="minorHAnsi"/>
          <w:sz w:val="26"/>
          <w:szCs w:val="26"/>
        </w:rPr>
        <w:t xml:space="preserve">R.D. at 54 (citing 66 Pa. C.S. 2807(e)(3.1)).  The ALJ agreed with Duquesne Light’s position that if the EGS Parties’ proposal were accepted, it would be poor policy with the potential for significant customer harm. </w:t>
      </w:r>
      <w:r w:rsidR="009D30B8" w:rsidRPr="00E951F4">
        <w:rPr>
          <w:rFonts w:eastAsiaTheme="minorHAnsi"/>
          <w:sz w:val="26"/>
          <w:szCs w:val="26"/>
        </w:rPr>
        <w:t xml:space="preserve"> </w:t>
      </w:r>
      <w:r w:rsidRPr="00E951F4">
        <w:rPr>
          <w:rFonts w:eastAsiaTheme="minorHAnsi"/>
          <w:sz w:val="26"/>
          <w:szCs w:val="26"/>
        </w:rPr>
        <w:t xml:space="preserve">Forcing a new or moving customer to switch to an EGS when the customer may be focused on the many issues of establishing a new residence is simply unreasonable.  In the ALJ’s opinion, </w:t>
      </w:r>
      <w:r w:rsidR="00511F5E" w:rsidRPr="00E951F4">
        <w:rPr>
          <w:rFonts w:eastAsiaTheme="minorHAnsi"/>
          <w:sz w:val="26"/>
          <w:szCs w:val="26"/>
        </w:rPr>
        <w:t>a</w:t>
      </w:r>
      <w:r w:rsidRPr="00E951F4">
        <w:rPr>
          <w:rFonts w:eastAsiaTheme="minorHAnsi"/>
          <w:sz w:val="26"/>
          <w:szCs w:val="26"/>
        </w:rPr>
        <w:t xml:space="preserve"> customer that does not voluntarily and affirmatively elect service from an EGS should not be forced to accept service from an EGS.  R.D. at 54 (citing Duquesne Light R.B. at 18).</w:t>
      </w:r>
    </w:p>
    <w:p w14:paraId="5F216BDF" w14:textId="77777777" w:rsidR="00EA64E1" w:rsidRPr="00E951F4" w:rsidRDefault="00EA64E1" w:rsidP="00E951F4">
      <w:pPr>
        <w:widowControl/>
        <w:spacing w:line="360" w:lineRule="auto"/>
        <w:ind w:firstLine="1440"/>
        <w:contextualSpacing/>
        <w:rPr>
          <w:sz w:val="26"/>
          <w:szCs w:val="26"/>
        </w:rPr>
      </w:pPr>
    </w:p>
    <w:p w14:paraId="2034207B" w14:textId="4CD69B7D" w:rsidR="00EA64E1" w:rsidRPr="00E951F4" w:rsidRDefault="00EA64E1" w:rsidP="00E951F4">
      <w:pPr>
        <w:widowControl/>
        <w:spacing w:line="360" w:lineRule="auto"/>
        <w:ind w:firstLine="1440"/>
        <w:contextualSpacing/>
        <w:rPr>
          <w:rFonts w:eastAsiaTheme="minorHAnsi"/>
          <w:sz w:val="26"/>
          <w:szCs w:val="26"/>
        </w:rPr>
      </w:pPr>
      <w:r w:rsidRPr="00E951F4">
        <w:rPr>
          <w:rFonts w:eastAsiaTheme="minorHAnsi"/>
          <w:sz w:val="26"/>
          <w:szCs w:val="26"/>
        </w:rPr>
        <w:t xml:space="preserve">The ALJ noted that the SOP Stipulation provides for reporting by the Company of the prices paid by customers who remain with an EGS after the </w:t>
      </w:r>
      <w:r w:rsidR="009D30B8" w:rsidRPr="00E951F4">
        <w:rPr>
          <w:rFonts w:eastAsiaTheme="minorHAnsi"/>
          <w:sz w:val="26"/>
          <w:szCs w:val="26"/>
        </w:rPr>
        <w:t>twelve</w:t>
      </w:r>
      <w:r w:rsidRPr="00E951F4">
        <w:rPr>
          <w:rFonts w:eastAsiaTheme="minorHAnsi"/>
          <w:sz w:val="26"/>
          <w:szCs w:val="26"/>
        </w:rPr>
        <w:t xml:space="preserve">-month period. </w:t>
      </w:r>
      <w:r w:rsidR="009D30B8" w:rsidRPr="00E951F4">
        <w:rPr>
          <w:rFonts w:eastAsiaTheme="minorHAnsi"/>
          <w:sz w:val="26"/>
          <w:szCs w:val="26"/>
        </w:rPr>
        <w:t xml:space="preserve"> </w:t>
      </w:r>
      <w:r w:rsidRPr="00E951F4">
        <w:rPr>
          <w:rFonts w:eastAsiaTheme="minorHAnsi"/>
          <w:sz w:val="26"/>
          <w:szCs w:val="26"/>
        </w:rPr>
        <w:t xml:space="preserve">The Company shares the concerns of CAUSE-PA and </w:t>
      </w:r>
      <w:r w:rsidR="009F073E" w:rsidRPr="00E951F4">
        <w:rPr>
          <w:rFonts w:eastAsiaTheme="minorHAnsi"/>
          <w:sz w:val="26"/>
          <w:szCs w:val="26"/>
        </w:rPr>
        <w:t xml:space="preserve">the </w:t>
      </w:r>
      <w:r w:rsidRPr="00E951F4">
        <w:rPr>
          <w:rFonts w:eastAsiaTheme="minorHAnsi"/>
          <w:sz w:val="26"/>
          <w:szCs w:val="26"/>
        </w:rPr>
        <w:t xml:space="preserve">OCA about </w:t>
      </w:r>
      <w:r w:rsidRPr="00E951F4">
        <w:rPr>
          <w:rFonts w:eastAsiaTheme="minorHAnsi"/>
          <w:sz w:val="26"/>
          <w:szCs w:val="26"/>
        </w:rPr>
        <w:lastRenderedPageBreak/>
        <w:t>customers paying prices above the PTC when customers remain with an EGS without an affirmative decision by the customer to accept another EGS product.  R.D. at 55.</w:t>
      </w:r>
    </w:p>
    <w:p w14:paraId="0ACED9B1" w14:textId="77777777" w:rsidR="00EA64E1" w:rsidRPr="00E951F4" w:rsidRDefault="00EA64E1" w:rsidP="00E951F4">
      <w:pPr>
        <w:widowControl/>
        <w:spacing w:line="360" w:lineRule="auto"/>
        <w:ind w:firstLine="1440"/>
        <w:contextualSpacing/>
        <w:rPr>
          <w:rFonts w:eastAsiaTheme="minorHAnsi"/>
          <w:sz w:val="26"/>
          <w:szCs w:val="26"/>
        </w:rPr>
      </w:pPr>
    </w:p>
    <w:p w14:paraId="3C8207F5" w14:textId="0E5AA56D" w:rsidR="00EA64E1" w:rsidRPr="00E951F4" w:rsidRDefault="00EA64E1" w:rsidP="00E951F4">
      <w:pPr>
        <w:widowControl/>
        <w:spacing w:line="360" w:lineRule="auto"/>
        <w:ind w:firstLine="1440"/>
        <w:contextualSpacing/>
        <w:rPr>
          <w:rFonts w:eastAsiaTheme="minorHAnsi"/>
          <w:sz w:val="26"/>
          <w:szCs w:val="26"/>
        </w:rPr>
      </w:pPr>
      <w:r w:rsidRPr="00E951F4">
        <w:rPr>
          <w:rFonts w:eastAsiaTheme="minorHAnsi"/>
          <w:sz w:val="26"/>
          <w:szCs w:val="26"/>
        </w:rPr>
        <w:t xml:space="preserve">The ALJ stated that Duquesne Light’s proposal to outsource administration of its SOP, as modified by the SOP Stipulation of Duquesne Light, </w:t>
      </w:r>
      <w:r w:rsidR="007E09BA" w:rsidRPr="00E951F4">
        <w:rPr>
          <w:rFonts w:eastAsiaTheme="minorHAnsi"/>
          <w:sz w:val="26"/>
          <w:szCs w:val="26"/>
        </w:rPr>
        <w:t xml:space="preserve">the </w:t>
      </w:r>
      <w:r w:rsidRPr="00E951F4">
        <w:rPr>
          <w:rFonts w:eastAsiaTheme="minorHAnsi"/>
          <w:sz w:val="26"/>
          <w:szCs w:val="26"/>
        </w:rPr>
        <w:t>OCA and CAUSE-PA, is in the public interest and recommended that it be approved.  According to the ALJ, the SOP Stipulation terms will yield useful information necessary for smart policy decisions; better protect customers; and ensure customers have the information and tools necessary to ensure they make financially smart choices regarding electric supply.  R.D. at 55.</w:t>
      </w:r>
    </w:p>
    <w:p w14:paraId="637825BB" w14:textId="77777777" w:rsidR="00EA64E1" w:rsidRPr="00E951F4" w:rsidRDefault="00EA64E1" w:rsidP="00E951F4">
      <w:pPr>
        <w:widowControl/>
        <w:spacing w:line="360" w:lineRule="auto"/>
        <w:ind w:firstLine="1440"/>
        <w:contextualSpacing/>
        <w:rPr>
          <w:rFonts w:eastAsiaTheme="minorHAnsi"/>
          <w:sz w:val="26"/>
          <w:szCs w:val="26"/>
        </w:rPr>
      </w:pPr>
    </w:p>
    <w:p w14:paraId="134C6E13" w14:textId="6EC77E8B" w:rsidR="00EA64E1" w:rsidRPr="00E951F4" w:rsidRDefault="00EA64E1" w:rsidP="00E951F4">
      <w:pPr>
        <w:widowControl/>
        <w:spacing w:line="360" w:lineRule="auto"/>
        <w:ind w:firstLine="1440"/>
        <w:contextualSpacing/>
        <w:rPr>
          <w:sz w:val="26"/>
          <w:szCs w:val="26"/>
        </w:rPr>
      </w:pPr>
      <w:r w:rsidRPr="00E951F4">
        <w:rPr>
          <w:sz w:val="26"/>
          <w:szCs w:val="26"/>
        </w:rPr>
        <w:t>The ALJ recommended approval of the SOP the Company proposed at Paragraphs 60-66 of the Default Service Plan, as modified by the SOP Stipulation.  R.D.</w:t>
      </w:r>
      <w:r w:rsidR="001A278C">
        <w:rPr>
          <w:sz w:val="26"/>
          <w:szCs w:val="26"/>
        </w:rPr>
        <w:t> </w:t>
      </w:r>
      <w:r w:rsidRPr="00E951F4">
        <w:rPr>
          <w:sz w:val="26"/>
          <w:szCs w:val="26"/>
        </w:rPr>
        <w:t>at 55.</w:t>
      </w:r>
    </w:p>
    <w:p w14:paraId="2566ED3B" w14:textId="77777777" w:rsidR="009D30B8" w:rsidRPr="00E951F4" w:rsidRDefault="009D30B8" w:rsidP="00E951F4">
      <w:pPr>
        <w:widowControl/>
        <w:spacing w:line="360" w:lineRule="auto"/>
        <w:ind w:firstLine="1440"/>
        <w:contextualSpacing/>
        <w:rPr>
          <w:sz w:val="26"/>
          <w:szCs w:val="26"/>
        </w:rPr>
      </w:pPr>
    </w:p>
    <w:p w14:paraId="765F7FEF" w14:textId="7C7CD821" w:rsidR="00EA64E1" w:rsidRPr="00E951F4" w:rsidRDefault="00EA64E1" w:rsidP="00E951F4">
      <w:pPr>
        <w:pStyle w:val="Heading2"/>
        <w:spacing w:line="360" w:lineRule="auto"/>
        <w:rPr>
          <w:rFonts w:eastAsiaTheme="minorHAnsi"/>
        </w:rPr>
      </w:pPr>
      <w:bookmarkStart w:id="58" w:name="_Toc59620135"/>
      <w:bookmarkStart w:id="59" w:name="_Toc60912031"/>
      <w:r w:rsidRPr="00E951F4">
        <w:rPr>
          <w:rFonts w:eastAsiaTheme="minorHAnsi"/>
        </w:rPr>
        <w:t>D.</w:t>
      </w:r>
      <w:r w:rsidRPr="00E951F4">
        <w:rPr>
          <w:rFonts w:eastAsiaTheme="minorHAnsi"/>
        </w:rPr>
        <w:tab/>
        <w:t>Disposition</w:t>
      </w:r>
      <w:bookmarkEnd w:id="58"/>
      <w:bookmarkEnd w:id="59"/>
    </w:p>
    <w:p w14:paraId="5C7C61F2" w14:textId="2AC679C6" w:rsidR="00EA64E1" w:rsidRPr="00E951F4" w:rsidRDefault="00EA64E1" w:rsidP="00E951F4">
      <w:pPr>
        <w:pStyle w:val="BodyText2"/>
        <w:keepNext/>
        <w:widowControl/>
        <w:spacing w:after="0" w:line="360" w:lineRule="auto"/>
        <w:rPr>
          <w:rFonts w:eastAsiaTheme="minorHAnsi"/>
          <w:sz w:val="26"/>
          <w:szCs w:val="26"/>
        </w:rPr>
      </w:pPr>
    </w:p>
    <w:p w14:paraId="1B3A7A3F" w14:textId="2F92D5B1" w:rsidR="00EA64E1" w:rsidRPr="00E951F4" w:rsidRDefault="00EA64E1" w:rsidP="00E951F4">
      <w:pPr>
        <w:keepNext/>
        <w:widowControl/>
        <w:spacing w:line="360" w:lineRule="auto"/>
        <w:ind w:firstLine="1440"/>
        <w:contextualSpacing/>
        <w:rPr>
          <w:sz w:val="26"/>
          <w:szCs w:val="26"/>
        </w:rPr>
      </w:pPr>
      <w:r w:rsidRPr="00E951F4">
        <w:rPr>
          <w:rFonts w:eastAsiaTheme="minorHAnsi"/>
          <w:sz w:val="26"/>
          <w:szCs w:val="26"/>
        </w:rPr>
        <w:t xml:space="preserve">This SOP Stipulation is in the public interest and should be approved. </w:t>
      </w:r>
      <w:r w:rsidRPr="00E951F4">
        <w:rPr>
          <w:sz w:val="26"/>
          <w:szCs w:val="26"/>
        </w:rPr>
        <w:t xml:space="preserve"> None of the Parties filed Exceptions concerning the SOP issues in this proceeding.  We find that the ALJ’s decision on the SOP issues is legally sound, and we will adopt it in this Opinion and Order.  </w:t>
      </w:r>
    </w:p>
    <w:p w14:paraId="36F757BF" w14:textId="6D540F13" w:rsidR="00B246F4" w:rsidRPr="00E951F4" w:rsidRDefault="00B246F4" w:rsidP="00E951F4">
      <w:pPr>
        <w:pStyle w:val="BodyText2"/>
        <w:widowControl/>
        <w:rPr>
          <w:sz w:val="26"/>
          <w:szCs w:val="26"/>
        </w:rPr>
      </w:pPr>
    </w:p>
    <w:p w14:paraId="60940227" w14:textId="78A7B79D" w:rsidR="004E2313" w:rsidRPr="00E951F4" w:rsidRDefault="004E2313" w:rsidP="00E951F4">
      <w:pPr>
        <w:pStyle w:val="Heading1"/>
        <w:keepNext/>
        <w:ind w:left="0" w:firstLine="0"/>
      </w:pPr>
      <w:bookmarkStart w:id="60" w:name="_Toc60912032"/>
      <w:bookmarkStart w:id="61" w:name="_Toc59620136"/>
      <w:r w:rsidRPr="00E951F4">
        <w:lastRenderedPageBreak/>
        <w:t>Contested Issue</w:t>
      </w:r>
      <w:r w:rsidR="00056232" w:rsidRPr="00E951F4">
        <w:t>s</w:t>
      </w:r>
      <w:bookmarkEnd w:id="51"/>
      <w:bookmarkEnd w:id="60"/>
      <w:r w:rsidR="00EA64E1" w:rsidRPr="00E951F4">
        <w:t xml:space="preserve"> </w:t>
      </w:r>
      <w:bookmarkEnd w:id="61"/>
    </w:p>
    <w:p w14:paraId="40CBB66B" w14:textId="77777777" w:rsidR="00B246F4" w:rsidRPr="00E951F4" w:rsidRDefault="00B246F4" w:rsidP="00E951F4">
      <w:pPr>
        <w:pStyle w:val="Heading2"/>
        <w:spacing w:line="360" w:lineRule="auto"/>
      </w:pPr>
      <w:bookmarkStart w:id="62" w:name="_Toc56512760"/>
      <w:bookmarkStart w:id="63" w:name="_Toc59620137"/>
    </w:p>
    <w:p w14:paraId="5207F840" w14:textId="54AB0AD7" w:rsidR="00132B35" w:rsidRPr="00E951F4" w:rsidRDefault="009D299A" w:rsidP="00E951F4">
      <w:pPr>
        <w:pStyle w:val="Heading2"/>
        <w:spacing w:line="360" w:lineRule="auto"/>
        <w:rPr>
          <w:rFonts w:eastAsiaTheme="majorEastAsia"/>
        </w:rPr>
      </w:pPr>
      <w:bookmarkStart w:id="64" w:name="_Toc60912033"/>
      <w:r w:rsidRPr="00E951F4">
        <w:t>A</w:t>
      </w:r>
      <w:r w:rsidR="00AF014D" w:rsidRPr="00E951F4">
        <w:t>.</w:t>
      </w:r>
      <w:r w:rsidR="00AF014D" w:rsidRPr="00E951F4">
        <w:tab/>
      </w:r>
      <w:bookmarkEnd w:id="62"/>
      <w:r w:rsidR="00132B35" w:rsidRPr="00E951F4">
        <w:rPr>
          <w:rFonts w:eastAsiaTheme="majorEastAsia"/>
        </w:rPr>
        <w:t xml:space="preserve">EGS Payment of </w:t>
      </w:r>
      <w:r w:rsidR="00EA64E1" w:rsidRPr="00E951F4">
        <w:t>NITS</w:t>
      </w:r>
      <w:r w:rsidR="00132B35" w:rsidRPr="00E951F4">
        <w:rPr>
          <w:rFonts w:eastAsiaTheme="majorEastAsia"/>
        </w:rPr>
        <w:t xml:space="preserve"> Charges</w:t>
      </w:r>
      <w:bookmarkEnd w:id="63"/>
      <w:bookmarkEnd w:id="64"/>
    </w:p>
    <w:p w14:paraId="16CB832C" w14:textId="77777777" w:rsidR="00132B35" w:rsidRPr="00E951F4" w:rsidRDefault="00132B35" w:rsidP="00E951F4">
      <w:pPr>
        <w:keepNext/>
        <w:keepLines/>
        <w:widowControl/>
        <w:spacing w:line="360" w:lineRule="auto"/>
        <w:contextualSpacing/>
        <w:rPr>
          <w:rFonts w:eastAsiaTheme="minorHAnsi"/>
          <w:sz w:val="26"/>
          <w:szCs w:val="26"/>
        </w:rPr>
      </w:pPr>
    </w:p>
    <w:p w14:paraId="1873F33F" w14:textId="10FE19CC" w:rsidR="00132B35" w:rsidRPr="00E951F4" w:rsidRDefault="00132B35" w:rsidP="00E951F4">
      <w:pPr>
        <w:pStyle w:val="Heading3"/>
        <w:numPr>
          <w:ilvl w:val="0"/>
          <w:numId w:val="41"/>
        </w:numPr>
        <w:ind w:left="1440" w:hanging="720"/>
        <w:rPr>
          <w:rFonts w:eastAsiaTheme="majorEastAsia"/>
        </w:rPr>
      </w:pPr>
      <w:bookmarkStart w:id="65" w:name="_Toc59620138"/>
      <w:bookmarkStart w:id="66" w:name="_Toc60912034"/>
      <w:r w:rsidRPr="00E951F4">
        <w:rPr>
          <w:rFonts w:eastAsiaTheme="majorEastAsia"/>
        </w:rPr>
        <w:t>Background</w:t>
      </w:r>
      <w:bookmarkEnd w:id="65"/>
      <w:bookmarkEnd w:id="66"/>
    </w:p>
    <w:p w14:paraId="33477D92" w14:textId="77777777" w:rsidR="00132B35" w:rsidRPr="00E951F4" w:rsidRDefault="00132B35" w:rsidP="00E951F4">
      <w:pPr>
        <w:keepNext/>
        <w:keepLines/>
        <w:widowControl/>
        <w:spacing w:line="360" w:lineRule="auto"/>
        <w:contextualSpacing/>
        <w:rPr>
          <w:rFonts w:eastAsiaTheme="minorHAnsi"/>
          <w:sz w:val="26"/>
          <w:szCs w:val="26"/>
        </w:rPr>
      </w:pPr>
    </w:p>
    <w:p w14:paraId="58A92108" w14:textId="2F8543BF" w:rsidR="00132B35" w:rsidRPr="00E951F4" w:rsidRDefault="00132B35" w:rsidP="00E951F4">
      <w:pPr>
        <w:keepNext/>
        <w:widowControl/>
        <w:spacing w:line="360" w:lineRule="auto"/>
        <w:ind w:firstLine="1440"/>
        <w:contextualSpacing/>
        <w:rPr>
          <w:rFonts w:eastAsiaTheme="minorHAnsi"/>
          <w:sz w:val="26"/>
          <w:szCs w:val="26"/>
        </w:rPr>
      </w:pPr>
      <w:r w:rsidRPr="00E951F4">
        <w:rPr>
          <w:rFonts w:eastAsiaTheme="minorHAnsi"/>
          <w:sz w:val="26"/>
          <w:szCs w:val="26"/>
        </w:rPr>
        <w:t>The first contested issue in this proceeding centers on the allocation of NITS charges.  NITS charges refer to costs that PJM charges load serving entities (LSEs) for the use of the transmission system.  Duquesne Light St. 3-R at 23.  NITS rates are formula-based rates adjusted annually through FERC-approved formula rate filings to account for changes in operating costs, system loads, or cost recovery requirements for new transmission projects.  NITS rates are based on a number of factors including: (1) the transmission owner’s cost of service; (2) cost of capital in rate base, including allowed return on equity and interest costs; (3) depreciation and amortization; and (4) taxes, operation</w:t>
      </w:r>
      <w:r w:rsidR="00E33965" w:rsidRPr="00E951F4">
        <w:rPr>
          <w:rFonts w:eastAsiaTheme="minorHAnsi"/>
          <w:sz w:val="26"/>
          <w:szCs w:val="26"/>
        </w:rPr>
        <w:t>,</w:t>
      </w:r>
      <w:r w:rsidRPr="00E951F4">
        <w:rPr>
          <w:rFonts w:eastAsiaTheme="minorHAnsi"/>
          <w:sz w:val="26"/>
          <w:szCs w:val="26"/>
        </w:rPr>
        <w:t xml:space="preserve"> and maintenance expenses.  EGS Parties M.B. at 11-12.</w:t>
      </w:r>
    </w:p>
    <w:p w14:paraId="0FC78B48" w14:textId="77777777" w:rsidR="003D247E" w:rsidRPr="00E951F4" w:rsidRDefault="003D247E" w:rsidP="00E951F4">
      <w:pPr>
        <w:widowControl/>
        <w:spacing w:line="360" w:lineRule="auto"/>
        <w:ind w:firstLine="1440"/>
        <w:contextualSpacing/>
        <w:rPr>
          <w:rFonts w:eastAsiaTheme="minorHAnsi"/>
          <w:sz w:val="26"/>
          <w:szCs w:val="26"/>
        </w:rPr>
      </w:pPr>
    </w:p>
    <w:p w14:paraId="1D8A1DB1" w14:textId="6E69272F" w:rsidR="00132B35" w:rsidRPr="00E951F4" w:rsidRDefault="00132B35" w:rsidP="00E951F4">
      <w:pPr>
        <w:widowControl/>
        <w:spacing w:line="360" w:lineRule="auto"/>
        <w:ind w:firstLine="1440"/>
        <w:contextualSpacing/>
        <w:rPr>
          <w:rFonts w:eastAsiaTheme="minorHAnsi"/>
          <w:sz w:val="26"/>
          <w:szCs w:val="26"/>
        </w:rPr>
      </w:pPr>
      <w:r w:rsidRPr="00E951F4">
        <w:rPr>
          <w:rFonts w:eastAsiaTheme="minorHAnsi"/>
          <w:sz w:val="26"/>
          <w:szCs w:val="26"/>
        </w:rPr>
        <w:t>Duquesne Light currently recovers PJM transmission charges associated with default service, including NITS through its bypassable transmission service charge (TSC).  These charges are billed pursuant to the PJM open access transmission tariff (OATT).  The TSC provides the Company recovery of its costs for transmission service associated only with default service load and establishes the basis of the transmission component of the PTC.  These costs are defined within the SMA as the responsibility of the EDC.  Conversely, customers who elect to shop with an EGS do not pay the TSC.  Duquesne Light St. 4-R at 18-19; Duquesne Light Ex</w:t>
      </w:r>
      <w:r w:rsidR="00544B79" w:rsidRPr="00E951F4">
        <w:rPr>
          <w:rFonts w:eastAsiaTheme="minorHAnsi"/>
          <w:sz w:val="26"/>
          <w:szCs w:val="26"/>
        </w:rPr>
        <w:t>h</w:t>
      </w:r>
      <w:r w:rsidRPr="00E951F4">
        <w:rPr>
          <w:rFonts w:eastAsiaTheme="minorHAnsi"/>
          <w:sz w:val="26"/>
          <w:szCs w:val="26"/>
        </w:rPr>
        <w:t xml:space="preserve">. JP-3 at 1-11.  Historically, Duquesne Light has always paid NITS charges for default service customers, and </w:t>
      </w:r>
      <w:r w:rsidR="00F30BD2" w:rsidRPr="00E951F4">
        <w:rPr>
          <w:rFonts w:eastAsiaTheme="minorHAnsi"/>
          <w:sz w:val="26"/>
          <w:szCs w:val="26"/>
        </w:rPr>
        <w:t xml:space="preserve">the </w:t>
      </w:r>
      <w:r w:rsidRPr="00E951F4">
        <w:rPr>
          <w:rFonts w:eastAsiaTheme="minorHAnsi"/>
          <w:sz w:val="26"/>
          <w:szCs w:val="26"/>
        </w:rPr>
        <w:t xml:space="preserve">EGSs operating in Duquesne Light’s service territory have always paid NITS charges for the shopping customers they serve.  Duquesne Light proposed to continue to </w:t>
      </w:r>
      <w:bookmarkStart w:id="67" w:name="_Hlk58487102"/>
      <w:r w:rsidRPr="00E951F4">
        <w:rPr>
          <w:rFonts w:eastAsiaTheme="minorHAnsi"/>
          <w:sz w:val="26"/>
          <w:szCs w:val="26"/>
        </w:rPr>
        <w:t>recover NITS through a bypassable charge applicable only to customers receiving default service</w:t>
      </w:r>
      <w:bookmarkEnd w:id="67"/>
      <w:r w:rsidRPr="00E951F4">
        <w:rPr>
          <w:rFonts w:eastAsiaTheme="minorHAnsi"/>
          <w:sz w:val="26"/>
          <w:szCs w:val="26"/>
        </w:rPr>
        <w:t xml:space="preserve"> from the Company in its DSP IX.  However, as will be discussed in more detail below, </w:t>
      </w:r>
      <w:r w:rsidRPr="00E951F4">
        <w:rPr>
          <w:rFonts w:eastAsiaTheme="minorHAnsi"/>
          <w:sz w:val="26"/>
          <w:szCs w:val="26"/>
        </w:rPr>
        <w:lastRenderedPageBreak/>
        <w:t>the EGS Parties have challenged Duquesne Light’s proposal and argued that Duquesne Light’s NITS costs should be recovered by the Company through a Non-Bypassable Transmission (NBT) charge applicable to all Duquesne Light distribution customers</w:t>
      </w:r>
      <w:r w:rsidR="00486E1E" w:rsidRPr="00E951F4">
        <w:rPr>
          <w:rFonts w:eastAsiaTheme="minorHAnsi"/>
          <w:sz w:val="26"/>
          <w:szCs w:val="26"/>
        </w:rPr>
        <w:t>,</w:t>
      </w:r>
      <w:r w:rsidRPr="00E951F4">
        <w:rPr>
          <w:rFonts w:eastAsiaTheme="minorHAnsi"/>
          <w:sz w:val="26"/>
          <w:szCs w:val="26"/>
        </w:rPr>
        <w:t xml:space="preserve"> regardless of whether such customers receive default service from Duquesne Light or competitive generation supply service from an EGS.  Duquesne Light M.B. at 12.</w:t>
      </w:r>
    </w:p>
    <w:p w14:paraId="0B4A746E" w14:textId="77777777" w:rsidR="00A66BE0" w:rsidRPr="00E951F4" w:rsidRDefault="00A66BE0" w:rsidP="00E951F4">
      <w:pPr>
        <w:widowControl/>
        <w:spacing w:line="360" w:lineRule="auto"/>
        <w:ind w:firstLine="1440"/>
        <w:contextualSpacing/>
        <w:rPr>
          <w:rFonts w:eastAsiaTheme="minorHAnsi"/>
          <w:sz w:val="26"/>
          <w:szCs w:val="26"/>
        </w:rPr>
      </w:pPr>
    </w:p>
    <w:p w14:paraId="189D083E" w14:textId="6E7EAF15" w:rsidR="00132B35" w:rsidRPr="00E951F4" w:rsidRDefault="00132B35" w:rsidP="00E951F4">
      <w:pPr>
        <w:pStyle w:val="Heading3"/>
        <w:rPr>
          <w:rFonts w:eastAsiaTheme="majorEastAsia"/>
        </w:rPr>
      </w:pPr>
      <w:bookmarkStart w:id="68" w:name="_Toc59620139"/>
      <w:bookmarkStart w:id="69" w:name="_Toc60912035"/>
      <w:r w:rsidRPr="00E951F4">
        <w:rPr>
          <w:rFonts w:eastAsiaTheme="majorEastAsia"/>
        </w:rPr>
        <w:t>Positions of the Parties</w:t>
      </w:r>
      <w:bookmarkEnd w:id="68"/>
      <w:bookmarkEnd w:id="69"/>
    </w:p>
    <w:p w14:paraId="5B51E3C0" w14:textId="77777777" w:rsidR="00132B35" w:rsidRPr="00E951F4" w:rsidRDefault="00132B35" w:rsidP="00E951F4">
      <w:pPr>
        <w:keepNext/>
        <w:keepLines/>
        <w:widowControl/>
        <w:spacing w:line="360" w:lineRule="auto"/>
        <w:rPr>
          <w:rFonts w:eastAsiaTheme="minorHAnsi"/>
          <w:sz w:val="26"/>
          <w:szCs w:val="26"/>
        </w:rPr>
      </w:pPr>
    </w:p>
    <w:p w14:paraId="6F9B238D" w14:textId="437E701C" w:rsidR="00132B35" w:rsidRPr="00E951F4" w:rsidRDefault="00132B35" w:rsidP="000F2202">
      <w:pPr>
        <w:keepNext/>
        <w:keepLines/>
        <w:widowControl/>
        <w:spacing w:line="360" w:lineRule="auto"/>
        <w:ind w:left="720" w:firstLine="720"/>
        <w:rPr>
          <w:b/>
          <w:bCs/>
          <w:sz w:val="26"/>
          <w:szCs w:val="26"/>
        </w:rPr>
      </w:pPr>
      <w:r w:rsidRPr="00E951F4">
        <w:rPr>
          <w:b/>
          <w:bCs/>
          <w:sz w:val="26"/>
          <w:szCs w:val="26"/>
        </w:rPr>
        <w:t>EGS Parties</w:t>
      </w:r>
    </w:p>
    <w:p w14:paraId="649FB052" w14:textId="77777777" w:rsidR="00B47A0B" w:rsidRPr="00E951F4" w:rsidRDefault="00B47A0B" w:rsidP="00E951F4">
      <w:pPr>
        <w:keepNext/>
        <w:keepLines/>
        <w:widowControl/>
        <w:spacing w:line="360" w:lineRule="auto"/>
        <w:ind w:firstLine="720"/>
        <w:rPr>
          <w:b/>
          <w:bCs/>
          <w:sz w:val="26"/>
          <w:szCs w:val="26"/>
        </w:rPr>
      </w:pPr>
    </w:p>
    <w:p w14:paraId="49855398" w14:textId="77777777" w:rsidR="00132B35" w:rsidRPr="00E951F4" w:rsidRDefault="00132B35" w:rsidP="00E951F4">
      <w:pPr>
        <w:keepNext/>
        <w:keepLines/>
        <w:widowControl/>
        <w:spacing w:line="360" w:lineRule="auto"/>
        <w:ind w:firstLine="1440"/>
        <w:contextualSpacing/>
        <w:rPr>
          <w:rFonts w:eastAsiaTheme="minorHAnsi"/>
          <w:sz w:val="26"/>
          <w:szCs w:val="26"/>
        </w:rPr>
      </w:pPr>
      <w:r w:rsidRPr="00E951F4">
        <w:rPr>
          <w:rFonts w:eastAsiaTheme="minorHAnsi"/>
          <w:sz w:val="26"/>
          <w:szCs w:val="26"/>
        </w:rPr>
        <w:t>The EGS Parties argued that Duquesne Light should be required to implement an NBT charge to collect and remit NITS costs for all customers in its service territory.  According to the EGS Parties, this will improve Duquesne Light’s default service program by assisting shopping customers and their suppliers in managing the risks from the sudden and volatile changes to NITS charges.  In this regard, the EGS Parties submitted that NITS charges change annually because both the FERC-approved NITS rate and the individual customer’s Network Transmission Service Peak Load Contribution (PLC) can, and usually do, change from year to year; and in recent years have been changing in an increasingly more volatile manner.  The EGS Parties contended that because these rates change frequently and suddenly, this makes an LSE’s NITS obligation on behalf of an individual customer, and its total NITS payment, difficult to predict and even more difficult to influence.  EGS Parties M.B. at 1, 2, 12.</w:t>
      </w:r>
    </w:p>
    <w:p w14:paraId="1AE4B780" w14:textId="77777777" w:rsidR="00132B35" w:rsidRPr="00E951F4" w:rsidRDefault="00132B35" w:rsidP="00E951F4">
      <w:pPr>
        <w:widowControl/>
        <w:spacing w:after="200" w:line="360" w:lineRule="auto"/>
        <w:contextualSpacing/>
        <w:rPr>
          <w:rFonts w:eastAsiaTheme="minorHAnsi"/>
          <w:sz w:val="26"/>
          <w:szCs w:val="26"/>
        </w:rPr>
      </w:pPr>
    </w:p>
    <w:p w14:paraId="536075B4" w14:textId="27043413" w:rsidR="00132B35" w:rsidRPr="00E951F4" w:rsidRDefault="00132B35" w:rsidP="00E951F4">
      <w:pPr>
        <w:widowControl/>
        <w:spacing w:after="200" w:line="360" w:lineRule="auto"/>
        <w:ind w:firstLine="1440"/>
        <w:contextualSpacing/>
        <w:rPr>
          <w:rFonts w:eastAsiaTheme="minorHAnsi"/>
          <w:sz w:val="26"/>
          <w:szCs w:val="26"/>
        </w:rPr>
      </w:pPr>
      <w:r w:rsidRPr="00E951F4">
        <w:rPr>
          <w:rFonts w:eastAsiaTheme="minorHAnsi"/>
          <w:sz w:val="26"/>
          <w:szCs w:val="26"/>
        </w:rPr>
        <w:t xml:space="preserve">The EGS Parties next submitted that Duquesne Light recovers NITS and other non-market-based charges from default service customers in a manner that allows the customer to pay only the exact amount, and which allows Duquesne Light to remit only the exact amount, resulting in no party taking on any risk on the NITS charges.  As such, the EGS Parties framed Duquesne Light’s role as merely one of a collection agent, and not a payee.  In contrast, the EGS Parties argued that given the volatility in the NITS </w:t>
      </w:r>
      <w:r w:rsidRPr="00E951F4">
        <w:rPr>
          <w:rFonts w:eastAsiaTheme="minorHAnsi"/>
          <w:sz w:val="26"/>
          <w:szCs w:val="26"/>
        </w:rPr>
        <w:lastRenderedPageBreak/>
        <w:t xml:space="preserve">rates, the impact is far more negative for shopping customers, especially for larger customers.  According to the EGS Parties, most EGSs cannot absorb the risk of these volatile charges and often pass this risk </w:t>
      </w:r>
      <w:r w:rsidR="0084735D" w:rsidRPr="00E951F4">
        <w:rPr>
          <w:rFonts w:eastAsiaTheme="minorHAnsi"/>
          <w:sz w:val="26"/>
          <w:szCs w:val="26"/>
        </w:rPr>
        <w:t xml:space="preserve">through </w:t>
      </w:r>
      <w:r w:rsidRPr="00E951F4">
        <w:rPr>
          <w:rFonts w:eastAsiaTheme="minorHAnsi"/>
          <w:sz w:val="26"/>
          <w:szCs w:val="26"/>
        </w:rPr>
        <w:t>to the customers.  Thus, the EGS Parties took the position that Duquesne Light’s current mechanism of recovering NITS through a bypassable charge applicable only to customers receiving default service grants an advantage to default service customers to the detriment of shopping customers and their suppliers.  EGS Parties M.B. at 12-13</w:t>
      </w:r>
    </w:p>
    <w:p w14:paraId="369049D1" w14:textId="77777777" w:rsidR="00132B35" w:rsidRPr="00E951F4" w:rsidRDefault="00132B35" w:rsidP="00E951F4">
      <w:pPr>
        <w:widowControl/>
        <w:spacing w:after="200" w:line="360" w:lineRule="auto"/>
        <w:contextualSpacing/>
        <w:rPr>
          <w:rFonts w:eastAsiaTheme="minorHAnsi"/>
          <w:sz w:val="26"/>
          <w:szCs w:val="26"/>
        </w:rPr>
      </w:pPr>
    </w:p>
    <w:p w14:paraId="586C9F15" w14:textId="383E1370" w:rsidR="00132B35" w:rsidRPr="00E951F4" w:rsidRDefault="00132B35" w:rsidP="00E951F4">
      <w:pPr>
        <w:widowControl/>
        <w:spacing w:line="360" w:lineRule="auto"/>
        <w:ind w:firstLine="1440"/>
        <w:rPr>
          <w:rFonts w:eastAsiaTheme="minorHAnsi"/>
          <w:sz w:val="26"/>
          <w:szCs w:val="26"/>
        </w:rPr>
      </w:pPr>
      <w:r w:rsidRPr="00E951F4">
        <w:rPr>
          <w:rFonts w:eastAsiaTheme="minorHAnsi"/>
          <w:sz w:val="26"/>
          <w:szCs w:val="26"/>
        </w:rPr>
        <w:t xml:space="preserve">The EGS Parties continued that such discriminatory practices are prohibited under the Code.  Instead, the EGS Parties asserted that the Code requires EDCs to provide terms of access for </w:t>
      </w:r>
      <w:r w:rsidR="0010035E" w:rsidRPr="00E951F4">
        <w:rPr>
          <w:rFonts w:eastAsiaTheme="minorHAnsi"/>
          <w:sz w:val="26"/>
          <w:szCs w:val="26"/>
        </w:rPr>
        <w:t xml:space="preserve">the </w:t>
      </w:r>
      <w:r w:rsidRPr="00E951F4">
        <w:rPr>
          <w:rFonts w:eastAsiaTheme="minorHAnsi"/>
          <w:sz w:val="26"/>
          <w:szCs w:val="26"/>
        </w:rPr>
        <w:t xml:space="preserve">EGSs and customers that are comparable to their own abilities.  EGS Parties M.B. at 13 (citing 66 Pa. C.S. §§ 1502, 2804(6)).  The EGS Parties further contended that in </w:t>
      </w:r>
      <w:r w:rsidRPr="00E951F4">
        <w:rPr>
          <w:rFonts w:eastAsiaTheme="minorHAnsi"/>
          <w:i/>
          <w:iCs/>
          <w:sz w:val="26"/>
          <w:szCs w:val="26"/>
        </w:rPr>
        <w:t>Pa. PUC et al v. Columbia Gas of Pennsylvania, Inc.</w:t>
      </w:r>
      <w:r w:rsidRPr="00E951F4">
        <w:rPr>
          <w:rFonts w:eastAsiaTheme="minorHAnsi"/>
          <w:sz w:val="26"/>
          <w:szCs w:val="26"/>
        </w:rPr>
        <w:t>, Docket No. R-2018-2647577 (Order entered December 16, 2018) (</w:t>
      </w:r>
      <w:r w:rsidRPr="00E951F4">
        <w:rPr>
          <w:rFonts w:eastAsiaTheme="minorHAnsi"/>
          <w:i/>
          <w:iCs/>
          <w:sz w:val="26"/>
          <w:szCs w:val="26"/>
        </w:rPr>
        <w:t>Columbia</w:t>
      </w:r>
      <w:r w:rsidRPr="00E951F4">
        <w:rPr>
          <w:rFonts w:eastAsiaTheme="minorHAnsi"/>
          <w:sz w:val="26"/>
          <w:szCs w:val="26"/>
        </w:rPr>
        <w:t xml:space="preserve">), the Commission found that the </w:t>
      </w:r>
      <w:bookmarkStart w:id="70" w:name="_Hlk58593981"/>
      <w:r w:rsidRPr="00E951F4">
        <w:rPr>
          <w:rFonts w:eastAsiaTheme="minorHAnsi"/>
          <w:sz w:val="26"/>
          <w:szCs w:val="26"/>
        </w:rPr>
        <w:t>provision of billing service for “non-commodity products and services” was a public utility service and must comply with the non-discrimination provisions of the Code</w:t>
      </w:r>
      <w:bookmarkEnd w:id="70"/>
      <w:r w:rsidRPr="00E951F4">
        <w:rPr>
          <w:rFonts w:eastAsiaTheme="minorHAnsi"/>
          <w:sz w:val="26"/>
          <w:szCs w:val="26"/>
        </w:rPr>
        <w:t>.  EGS Parties M.B. at 14; EGS Parties R.B. at 12.  In the EGS Parties’ view, it is definitive that Duquesne Light’s billing of NITS charges is, likewise, a public utility service that is subject to the same non-discrimination requirements.  The EGS Parties reinforced their position that Duquesne Light’s current practice of billing only default service customers for NITS charges that are identical to their shopping counterparts on a basis that differs only because of a customer’s status as a non-shopping customer constitutes discrimination and is prohibited.  Therefore, the EGS Parties stressed their position that NITS charges should be collected via an NBT charge for all customers, based upon each customer’s contribution to the overall charge.  EGS Parties M.B. at</w:t>
      </w:r>
      <w:r w:rsidR="00691B03" w:rsidRPr="00E951F4">
        <w:rPr>
          <w:rFonts w:eastAsiaTheme="minorHAnsi"/>
          <w:sz w:val="26"/>
          <w:szCs w:val="26"/>
        </w:rPr>
        <w:t> </w:t>
      </w:r>
      <w:r w:rsidRPr="00E951F4">
        <w:rPr>
          <w:rFonts w:eastAsiaTheme="minorHAnsi"/>
          <w:sz w:val="26"/>
          <w:szCs w:val="26"/>
        </w:rPr>
        <w:t>14</w:t>
      </w:r>
      <w:r w:rsidRPr="00E951F4">
        <w:rPr>
          <w:rFonts w:eastAsiaTheme="minorHAnsi"/>
          <w:sz w:val="26"/>
          <w:szCs w:val="26"/>
        </w:rPr>
        <w:noBreakHyphen/>
        <w:t>15.</w:t>
      </w:r>
    </w:p>
    <w:p w14:paraId="659D9A10" w14:textId="6A2C3878" w:rsidR="00B246F4" w:rsidRPr="00E951F4" w:rsidRDefault="00B246F4" w:rsidP="00E951F4">
      <w:pPr>
        <w:widowControl/>
        <w:spacing w:line="360" w:lineRule="auto"/>
        <w:rPr>
          <w:rFonts w:eastAsiaTheme="minorHAnsi"/>
          <w:sz w:val="26"/>
          <w:szCs w:val="26"/>
        </w:rPr>
      </w:pPr>
    </w:p>
    <w:p w14:paraId="0EFE6C92" w14:textId="547175BB" w:rsidR="00132B35" w:rsidRPr="00E951F4" w:rsidRDefault="00132B35" w:rsidP="000F2202">
      <w:pPr>
        <w:keepNext/>
        <w:widowControl/>
        <w:spacing w:line="360" w:lineRule="auto"/>
        <w:ind w:left="720" w:firstLine="720"/>
        <w:rPr>
          <w:b/>
          <w:bCs/>
          <w:sz w:val="26"/>
          <w:szCs w:val="26"/>
        </w:rPr>
      </w:pPr>
      <w:r w:rsidRPr="00E951F4">
        <w:rPr>
          <w:b/>
          <w:bCs/>
          <w:sz w:val="26"/>
          <w:szCs w:val="26"/>
        </w:rPr>
        <w:lastRenderedPageBreak/>
        <w:t>Duquesne Light</w:t>
      </w:r>
    </w:p>
    <w:p w14:paraId="5197DF93" w14:textId="77777777" w:rsidR="00132B35" w:rsidRPr="00E951F4" w:rsidRDefault="00132B35" w:rsidP="00E951F4">
      <w:pPr>
        <w:keepNext/>
        <w:widowControl/>
        <w:spacing w:line="360" w:lineRule="auto"/>
        <w:rPr>
          <w:rFonts w:eastAsiaTheme="minorHAnsi"/>
          <w:sz w:val="26"/>
          <w:szCs w:val="26"/>
        </w:rPr>
      </w:pPr>
    </w:p>
    <w:p w14:paraId="4A68EFA1" w14:textId="3C89A521" w:rsidR="00132B35" w:rsidRPr="00E951F4" w:rsidRDefault="00132B35" w:rsidP="00E951F4">
      <w:pPr>
        <w:keepNext/>
        <w:widowControl/>
        <w:spacing w:line="360" w:lineRule="auto"/>
        <w:ind w:firstLine="1440"/>
        <w:rPr>
          <w:rFonts w:eastAsiaTheme="minorHAnsi"/>
          <w:sz w:val="26"/>
          <w:szCs w:val="26"/>
        </w:rPr>
      </w:pPr>
      <w:r w:rsidRPr="00E951F4">
        <w:rPr>
          <w:rFonts w:eastAsiaTheme="minorHAnsi"/>
          <w:sz w:val="26"/>
          <w:szCs w:val="26"/>
        </w:rPr>
        <w:t xml:space="preserve">Duquesne Light countered that the EGS Parties’ proposed changes to the Company’s current Commission-approved cost assignment for NITS charges should be rejected.  Duquesne Light noted that the Commission rejected similar proposals in two of Duquesne Light’s previous DSP Proceedings.  Duquesne Light M.B. at 12-13 (citing </w:t>
      </w:r>
      <w:r w:rsidRPr="00E951F4">
        <w:rPr>
          <w:rFonts w:eastAsiaTheme="minorHAnsi"/>
          <w:i/>
          <w:iCs/>
          <w:sz w:val="26"/>
          <w:szCs w:val="26"/>
        </w:rPr>
        <w:t>Petition of Duquesne Light Company for Approval of a Default Service Program and Procurement Plan for the Period June 1, 2013 through May 31, 2015</w:t>
      </w:r>
      <w:r w:rsidRPr="00E951F4">
        <w:rPr>
          <w:rFonts w:eastAsiaTheme="minorHAnsi"/>
          <w:sz w:val="26"/>
          <w:szCs w:val="26"/>
        </w:rPr>
        <w:t>, Docket No. P</w:t>
      </w:r>
      <w:r w:rsidRPr="00E951F4">
        <w:rPr>
          <w:rFonts w:eastAsiaTheme="minorHAnsi"/>
          <w:sz w:val="26"/>
          <w:szCs w:val="26"/>
        </w:rPr>
        <w:noBreakHyphen/>
        <w:t>2012-2301664 (Order entered January 25, 2013) (</w:t>
      </w:r>
      <w:r w:rsidRPr="00E951F4">
        <w:rPr>
          <w:rFonts w:eastAsiaTheme="minorHAnsi"/>
          <w:i/>
          <w:iCs/>
          <w:sz w:val="26"/>
          <w:szCs w:val="26"/>
        </w:rPr>
        <w:t>Duquesne Light DSP VI</w:t>
      </w:r>
      <w:r w:rsidR="00BC32DB" w:rsidRPr="00E951F4">
        <w:rPr>
          <w:rFonts w:eastAsiaTheme="minorHAnsi"/>
          <w:i/>
          <w:iCs/>
          <w:sz w:val="26"/>
          <w:szCs w:val="26"/>
        </w:rPr>
        <w:t xml:space="preserve"> Order</w:t>
      </w:r>
      <w:r w:rsidRPr="00E951F4">
        <w:rPr>
          <w:rFonts w:eastAsiaTheme="minorHAnsi"/>
          <w:sz w:val="26"/>
          <w:szCs w:val="26"/>
        </w:rPr>
        <w:t>) at</w:t>
      </w:r>
      <w:r w:rsidR="001A278C">
        <w:rPr>
          <w:rFonts w:eastAsiaTheme="minorHAnsi"/>
          <w:sz w:val="26"/>
          <w:szCs w:val="26"/>
        </w:rPr>
        <w:t> </w:t>
      </w:r>
      <w:r w:rsidRPr="00E951F4">
        <w:rPr>
          <w:rFonts w:eastAsiaTheme="minorHAnsi"/>
          <w:sz w:val="26"/>
          <w:szCs w:val="26"/>
        </w:rPr>
        <w:t xml:space="preserve">221-22; </w:t>
      </w:r>
      <w:r w:rsidRPr="00E951F4">
        <w:rPr>
          <w:rFonts w:eastAsiaTheme="minorHAnsi"/>
          <w:i/>
          <w:iCs/>
          <w:sz w:val="26"/>
          <w:szCs w:val="26"/>
        </w:rPr>
        <w:t>Duquesne Light DSP VII</w:t>
      </w:r>
      <w:r w:rsidR="003A6AD1" w:rsidRPr="00E951F4">
        <w:rPr>
          <w:rFonts w:eastAsiaTheme="minorHAnsi"/>
          <w:i/>
          <w:iCs/>
          <w:sz w:val="26"/>
          <w:szCs w:val="26"/>
        </w:rPr>
        <w:t xml:space="preserve"> Order</w:t>
      </w:r>
      <w:r w:rsidRPr="00E951F4">
        <w:rPr>
          <w:rFonts w:eastAsiaTheme="minorHAnsi"/>
          <w:sz w:val="26"/>
          <w:szCs w:val="26"/>
        </w:rPr>
        <w:t xml:space="preserve"> at 45-46, 52-53.  According to Duquesne Light, the EGS Parties have failed to offer any new evidence or argument that would justify the Commission’s revision of its decision not to include NITS charges as part of an NBT charge.  Duquesne Light M.B. at 13.</w:t>
      </w:r>
    </w:p>
    <w:p w14:paraId="36BDDC8A" w14:textId="77777777" w:rsidR="00132B35" w:rsidRPr="00E951F4" w:rsidRDefault="00132B35" w:rsidP="00E951F4">
      <w:pPr>
        <w:widowControl/>
        <w:spacing w:after="200" w:line="360" w:lineRule="auto"/>
        <w:ind w:firstLine="1440"/>
        <w:contextualSpacing/>
        <w:rPr>
          <w:rFonts w:eastAsiaTheme="minorHAnsi"/>
          <w:sz w:val="26"/>
          <w:szCs w:val="26"/>
        </w:rPr>
      </w:pPr>
    </w:p>
    <w:p w14:paraId="2CC266F0" w14:textId="77777777" w:rsidR="00132B35" w:rsidRPr="00E951F4" w:rsidRDefault="00132B35" w:rsidP="00E951F4">
      <w:pPr>
        <w:widowControl/>
        <w:spacing w:after="200" w:line="360" w:lineRule="auto"/>
        <w:ind w:firstLine="1440"/>
        <w:contextualSpacing/>
        <w:rPr>
          <w:rFonts w:eastAsiaTheme="minorHAnsi"/>
          <w:sz w:val="26"/>
          <w:szCs w:val="26"/>
        </w:rPr>
      </w:pPr>
      <w:r w:rsidRPr="00E951F4">
        <w:rPr>
          <w:rFonts w:eastAsiaTheme="minorHAnsi"/>
          <w:sz w:val="26"/>
          <w:szCs w:val="26"/>
        </w:rPr>
        <w:t>Duquesne Light also proffered several reasons in support of its claim that the Commission should deny the EGS Parties’ proposal based on the record in this proceeding.  First, Duquesne Light argued that including NITS in its TSC ensures that the transmission component of the rate is unbundled and “portable.”  According to Duquesne Light, customers switching to an EGS would also purchase their transmission requirements from the EGS.  For this reason, Duquesne Light asserted that modifying the TSC such that it is non-bypassable would reduce the scope of products subject to meaningful competition and customer choice.  Second, Duquesne Light pointed out that the Company has continued with the same methodology to recover transmission costs for default service since customer choice began.  Therefore, Duquesne Light contended that changing the content and structure of the TSC to an NBT charge would change the fundamental composition of the PTC, which could create customer confusion.  Duquesne Light M.B. at 13-14.</w:t>
      </w:r>
    </w:p>
    <w:p w14:paraId="38F3BFA2" w14:textId="77777777" w:rsidR="00132B35" w:rsidRPr="00E951F4" w:rsidRDefault="00132B35" w:rsidP="00E951F4">
      <w:pPr>
        <w:widowControl/>
        <w:spacing w:after="200" w:line="360" w:lineRule="auto"/>
        <w:ind w:firstLine="1440"/>
        <w:contextualSpacing/>
        <w:rPr>
          <w:rFonts w:eastAsiaTheme="minorHAnsi"/>
          <w:sz w:val="26"/>
          <w:szCs w:val="26"/>
        </w:rPr>
      </w:pPr>
    </w:p>
    <w:p w14:paraId="7A0B7766" w14:textId="77777777" w:rsidR="00132B35" w:rsidRPr="00E951F4" w:rsidRDefault="00132B35" w:rsidP="00E951F4">
      <w:pPr>
        <w:widowControl/>
        <w:spacing w:after="200" w:line="360" w:lineRule="auto"/>
        <w:ind w:firstLine="1440"/>
        <w:contextualSpacing/>
        <w:rPr>
          <w:rFonts w:eastAsiaTheme="minorHAnsi"/>
          <w:sz w:val="26"/>
          <w:szCs w:val="26"/>
        </w:rPr>
      </w:pPr>
      <w:r w:rsidRPr="00E951F4">
        <w:rPr>
          <w:rFonts w:eastAsiaTheme="minorHAnsi"/>
          <w:sz w:val="26"/>
          <w:szCs w:val="26"/>
        </w:rPr>
        <w:lastRenderedPageBreak/>
        <w:t xml:space="preserve">Third, Duquesne Light submitted that changing the content and structure of the TSC could have a negative impact on current shopping customers.  In this regard, Duquesne Light noted that current shopping customers are paying their EGS for applicable transmission charges through the rates charged by their EGS.  Therefore, Duquesne Light took the position that implementing an NBT charge could cause shopping customers to pay twice for transmission service for the remainder of their EGS contracts.  Duquesne Light M.B. at 14.  </w:t>
      </w:r>
    </w:p>
    <w:p w14:paraId="24F0842F" w14:textId="77777777" w:rsidR="00132B35" w:rsidRPr="00E951F4" w:rsidRDefault="00132B35" w:rsidP="00E951F4">
      <w:pPr>
        <w:widowControl/>
        <w:spacing w:after="200" w:line="360" w:lineRule="auto"/>
        <w:ind w:firstLine="1440"/>
        <w:contextualSpacing/>
        <w:rPr>
          <w:rFonts w:eastAsiaTheme="minorHAnsi"/>
          <w:sz w:val="26"/>
          <w:szCs w:val="26"/>
        </w:rPr>
      </w:pPr>
    </w:p>
    <w:p w14:paraId="3A0BC9EE" w14:textId="22A47E71" w:rsidR="00132B35" w:rsidRPr="00E951F4" w:rsidRDefault="00132B35" w:rsidP="00E951F4">
      <w:pPr>
        <w:widowControl/>
        <w:spacing w:after="200" w:line="360" w:lineRule="auto"/>
        <w:ind w:firstLine="1440"/>
        <w:contextualSpacing/>
        <w:rPr>
          <w:rFonts w:eastAsiaTheme="minorHAnsi"/>
          <w:sz w:val="26"/>
          <w:szCs w:val="26"/>
        </w:rPr>
      </w:pPr>
      <w:r w:rsidRPr="00E951F4">
        <w:rPr>
          <w:rFonts w:eastAsiaTheme="minorHAnsi"/>
          <w:sz w:val="26"/>
          <w:szCs w:val="26"/>
        </w:rPr>
        <w:t xml:space="preserve">Fourth, Duquesne Light argued that </w:t>
      </w:r>
      <w:r w:rsidR="0010035E" w:rsidRPr="00E951F4">
        <w:rPr>
          <w:rFonts w:eastAsiaTheme="minorHAnsi"/>
          <w:sz w:val="26"/>
          <w:szCs w:val="26"/>
        </w:rPr>
        <w:t xml:space="preserve">the </w:t>
      </w:r>
      <w:r w:rsidRPr="00E951F4">
        <w:rPr>
          <w:rFonts w:eastAsiaTheme="minorHAnsi"/>
          <w:sz w:val="26"/>
          <w:szCs w:val="26"/>
        </w:rPr>
        <w:t xml:space="preserve">EGSs should be able to address their concerns in the pricing offerings they make available to customers.  Duquesne Light posited that, for example, some EGSs could offer to fix only the supply portion of their charges and pass through the transmission charges in question.  Duquesne Light also posited that </w:t>
      </w:r>
      <w:r w:rsidR="0010035E" w:rsidRPr="00E951F4">
        <w:rPr>
          <w:rFonts w:eastAsiaTheme="minorHAnsi"/>
          <w:sz w:val="26"/>
          <w:szCs w:val="26"/>
        </w:rPr>
        <w:t xml:space="preserve">the </w:t>
      </w:r>
      <w:r w:rsidRPr="00E951F4">
        <w:rPr>
          <w:rFonts w:eastAsiaTheme="minorHAnsi"/>
          <w:sz w:val="26"/>
          <w:szCs w:val="26"/>
        </w:rPr>
        <w:t>EGSs also could offer to fix some, but not all</w:t>
      </w:r>
      <w:r w:rsidR="00FA67BB" w:rsidRPr="00E951F4">
        <w:rPr>
          <w:rFonts w:eastAsiaTheme="minorHAnsi"/>
          <w:sz w:val="26"/>
          <w:szCs w:val="26"/>
        </w:rPr>
        <w:t>,</w:t>
      </w:r>
      <w:r w:rsidRPr="00E951F4">
        <w:rPr>
          <w:rFonts w:eastAsiaTheme="minorHAnsi"/>
          <w:sz w:val="26"/>
          <w:szCs w:val="26"/>
        </w:rPr>
        <w:t xml:space="preserve"> charges.  Additionally, Duquesne Light submitted that even if the Commission were to accept the EGS Parties’ position that NITS costs are volatile and hard to predict, this alone would not justify making such charges non-bypassable.  Rather, Duquesne Light contended that the competitive market in Pennsylvania established generation and transmission charges to be included in the PTC.  As such, Duquesne Light claimed that because these costs</w:t>
      </w:r>
      <w:r w:rsidR="00996469" w:rsidRPr="00E951F4">
        <w:rPr>
          <w:rFonts w:eastAsiaTheme="minorHAnsi"/>
          <w:sz w:val="26"/>
          <w:szCs w:val="26"/>
        </w:rPr>
        <w:t>,</w:t>
      </w:r>
      <w:r w:rsidRPr="00E951F4">
        <w:rPr>
          <w:rFonts w:eastAsiaTheme="minorHAnsi"/>
          <w:sz w:val="26"/>
          <w:szCs w:val="26"/>
        </w:rPr>
        <w:t xml:space="preserve"> including NITS, are incurred by </w:t>
      </w:r>
      <w:r w:rsidR="0010035E" w:rsidRPr="00E951F4">
        <w:rPr>
          <w:rFonts w:eastAsiaTheme="minorHAnsi"/>
          <w:sz w:val="26"/>
          <w:szCs w:val="26"/>
        </w:rPr>
        <w:t xml:space="preserve">the </w:t>
      </w:r>
      <w:r w:rsidRPr="00E951F4">
        <w:rPr>
          <w:rFonts w:eastAsiaTheme="minorHAnsi"/>
          <w:sz w:val="26"/>
          <w:szCs w:val="26"/>
        </w:rPr>
        <w:t>EGSs, it is not proper to socialize such costs to all distribution customers simply on the basis that they are unpredictable.  Duquesne Light M.B. at 14-15.</w:t>
      </w:r>
    </w:p>
    <w:p w14:paraId="714E748B" w14:textId="77777777" w:rsidR="00132B35" w:rsidRPr="00E951F4" w:rsidRDefault="00132B35" w:rsidP="00E951F4">
      <w:pPr>
        <w:widowControl/>
        <w:spacing w:after="200" w:line="360" w:lineRule="auto"/>
        <w:ind w:firstLine="1440"/>
        <w:contextualSpacing/>
        <w:rPr>
          <w:rFonts w:eastAsiaTheme="minorHAnsi"/>
          <w:sz w:val="26"/>
          <w:szCs w:val="26"/>
        </w:rPr>
      </w:pPr>
    </w:p>
    <w:p w14:paraId="69D9E477" w14:textId="54D0780B" w:rsidR="00132B35" w:rsidRPr="00E951F4" w:rsidRDefault="00132B35" w:rsidP="00E951F4">
      <w:pPr>
        <w:widowControl/>
        <w:spacing w:line="360" w:lineRule="auto"/>
        <w:ind w:firstLine="1440"/>
        <w:contextualSpacing/>
        <w:rPr>
          <w:rFonts w:eastAsiaTheme="minorHAnsi"/>
          <w:sz w:val="26"/>
          <w:szCs w:val="26"/>
        </w:rPr>
      </w:pPr>
      <w:r w:rsidRPr="00E951F4">
        <w:rPr>
          <w:rFonts w:eastAsiaTheme="minorHAnsi"/>
          <w:sz w:val="26"/>
          <w:szCs w:val="26"/>
        </w:rPr>
        <w:t xml:space="preserve">Finally, Duquesne Light noted that not all EGSs agree with the EGS Parties’ proposal.  More specifically, Duquesne Light highlighted Calpine’s position, </w:t>
      </w:r>
      <w:r w:rsidRPr="00E951F4">
        <w:rPr>
          <w:rFonts w:eastAsiaTheme="minorHAnsi"/>
          <w:i/>
          <w:iCs/>
          <w:sz w:val="26"/>
          <w:szCs w:val="26"/>
        </w:rPr>
        <w:t>infra</w:t>
      </w:r>
      <w:r w:rsidRPr="001A278C">
        <w:rPr>
          <w:rFonts w:eastAsiaTheme="minorHAnsi"/>
          <w:sz w:val="26"/>
          <w:szCs w:val="26"/>
        </w:rPr>
        <w:t>,</w:t>
      </w:r>
      <w:r w:rsidRPr="00E951F4">
        <w:rPr>
          <w:rFonts w:eastAsiaTheme="minorHAnsi"/>
          <w:i/>
          <w:iCs/>
          <w:sz w:val="26"/>
          <w:szCs w:val="26"/>
        </w:rPr>
        <w:t xml:space="preserve"> </w:t>
      </w:r>
      <w:r w:rsidRPr="00E951F4">
        <w:rPr>
          <w:rFonts w:eastAsiaTheme="minorHAnsi"/>
          <w:sz w:val="26"/>
          <w:szCs w:val="26"/>
        </w:rPr>
        <w:t>that the EGS Parties</w:t>
      </w:r>
      <w:r w:rsidR="00FD2AB0" w:rsidRPr="00E951F4">
        <w:rPr>
          <w:rFonts w:eastAsiaTheme="minorHAnsi"/>
          <w:sz w:val="26"/>
          <w:szCs w:val="26"/>
        </w:rPr>
        <w:t>’</w:t>
      </w:r>
      <w:r w:rsidRPr="00E951F4">
        <w:rPr>
          <w:rFonts w:eastAsiaTheme="minorHAnsi"/>
          <w:sz w:val="26"/>
          <w:szCs w:val="26"/>
        </w:rPr>
        <w:t xml:space="preserve"> NITS proposal would limit EGS competition and should be denied in this proceeding, just as it has been denied many other times by the Commission.  Duquesne Light M.B. at 15</w:t>
      </w:r>
      <w:r w:rsidRPr="00E951F4">
        <w:rPr>
          <w:rFonts w:eastAsiaTheme="minorHAnsi"/>
          <w:sz w:val="26"/>
          <w:szCs w:val="26"/>
        </w:rPr>
        <w:noBreakHyphen/>
        <w:t>16.</w:t>
      </w:r>
    </w:p>
    <w:p w14:paraId="671E9FB1" w14:textId="77777777" w:rsidR="00132B35" w:rsidRPr="00E951F4" w:rsidRDefault="00132B35" w:rsidP="00E951F4">
      <w:pPr>
        <w:widowControl/>
        <w:rPr>
          <w:rFonts w:eastAsiaTheme="minorHAnsi"/>
          <w:sz w:val="26"/>
          <w:szCs w:val="26"/>
        </w:rPr>
      </w:pPr>
    </w:p>
    <w:p w14:paraId="050DC23E" w14:textId="3C2E9B96" w:rsidR="00132B35" w:rsidRPr="00E951F4" w:rsidRDefault="004663ED" w:rsidP="000F2202">
      <w:pPr>
        <w:keepNext/>
        <w:widowControl/>
        <w:ind w:left="720" w:firstLine="720"/>
        <w:rPr>
          <w:rFonts w:eastAsiaTheme="minorHAnsi"/>
          <w:b/>
          <w:bCs/>
          <w:sz w:val="26"/>
          <w:szCs w:val="26"/>
        </w:rPr>
      </w:pPr>
      <w:r w:rsidRPr="00E951F4">
        <w:rPr>
          <w:rFonts w:eastAsiaTheme="minorHAnsi"/>
          <w:b/>
          <w:bCs/>
          <w:sz w:val="26"/>
          <w:szCs w:val="26"/>
        </w:rPr>
        <w:lastRenderedPageBreak/>
        <w:t>Calpine</w:t>
      </w:r>
    </w:p>
    <w:p w14:paraId="25ACFD6A" w14:textId="77777777" w:rsidR="00C9729F" w:rsidRPr="00E951F4" w:rsidRDefault="00C9729F" w:rsidP="00E951F4">
      <w:pPr>
        <w:keepNext/>
        <w:keepLines/>
        <w:widowControl/>
        <w:spacing w:line="360" w:lineRule="auto"/>
        <w:contextualSpacing/>
        <w:rPr>
          <w:rFonts w:eastAsiaTheme="minorHAnsi"/>
          <w:sz w:val="26"/>
          <w:szCs w:val="26"/>
        </w:rPr>
      </w:pPr>
    </w:p>
    <w:p w14:paraId="7BE18868" w14:textId="77777777" w:rsidR="00132B35" w:rsidRPr="00E951F4" w:rsidRDefault="00132B35" w:rsidP="00E951F4">
      <w:pPr>
        <w:keepNext/>
        <w:widowControl/>
        <w:spacing w:line="360" w:lineRule="auto"/>
        <w:ind w:firstLine="1440"/>
        <w:contextualSpacing/>
        <w:rPr>
          <w:rFonts w:eastAsiaTheme="minorHAnsi"/>
          <w:sz w:val="26"/>
          <w:szCs w:val="26"/>
        </w:rPr>
      </w:pPr>
      <w:r w:rsidRPr="00E951F4">
        <w:rPr>
          <w:rFonts w:eastAsiaTheme="minorHAnsi"/>
          <w:sz w:val="26"/>
          <w:szCs w:val="26"/>
        </w:rPr>
        <w:t>Calpine echoed Duquesne Light’s assertion that the EGS Parties’ proposed allocation of NITS charges should not be adopted.  Calpine explained that like the specific EGSs that comprise the EGS Parties in this proceeding, it is a Commission</w:t>
      </w:r>
      <w:r w:rsidRPr="00E951F4">
        <w:rPr>
          <w:rFonts w:eastAsiaTheme="minorHAnsi"/>
          <w:sz w:val="26"/>
          <w:szCs w:val="26"/>
        </w:rPr>
        <w:noBreakHyphen/>
        <w:t>licensed EGS serving customers in Pennsylvania, including customers in Duquesne Light’s service territory, and is also an LSE and a member of PJM.  As such, Calpine stated that like the EGS Parties, it incurs NITS costs.  According to Calpine, it has been able to successfully manage NITS costs and its customers’ loads while still offering products and services that its customers desire.  Calpine surmised that the EGS Parties, in contrast, have not been successful in this regard and are, therefore, attempting to shed their individual retail business risks by moving the NITS costs from the competitive retail market to all customers of Duquesne Light, regardless of the existing market, contracts, products, and services.  According to Calpine, such cost shifting would harm the retail competitive market and remove any incentive and opportunity to create customized products and services that are, or may potentially be, formulated to assist EGS customers in addressing these costs.  In Calpine’s view, the EGS Parties’ proposal constitutes nothing more than a bailout and predatory attempt to remove a competitor’s products and services from the market.  Calpine M.B. at 3, 4.</w:t>
      </w:r>
    </w:p>
    <w:p w14:paraId="163AED5A" w14:textId="77777777" w:rsidR="00132B35" w:rsidRPr="00E951F4" w:rsidRDefault="00132B35" w:rsidP="00E951F4">
      <w:pPr>
        <w:widowControl/>
        <w:spacing w:after="200" w:line="360" w:lineRule="auto"/>
        <w:ind w:firstLine="1440"/>
        <w:contextualSpacing/>
        <w:rPr>
          <w:rFonts w:eastAsiaTheme="minorHAnsi"/>
          <w:sz w:val="26"/>
          <w:szCs w:val="26"/>
        </w:rPr>
      </w:pPr>
    </w:p>
    <w:p w14:paraId="6DB05B00" w14:textId="407C7B71" w:rsidR="00132B35" w:rsidRPr="00E951F4" w:rsidRDefault="00132B35" w:rsidP="00E951F4">
      <w:pPr>
        <w:widowControl/>
        <w:spacing w:line="360" w:lineRule="auto"/>
        <w:ind w:firstLine="1440"/>
        <w:contextualSpacing/>
        <w:rPr>
          <w:rFonts w:eastAsiaTheme="minorHAnsi"/>
          <w:sz w:val="26"/>
          <w:szCs w:val="26"/>
        </w:rPr>
      </w:pPr>
      <w:r w:rsidRPr="00E951F4">
        <w:rPr>
          <w:rFonts w:eastAsiaTheme="minorHAnsi"/>
          <w:sz w:val="26"/>
          <w:szCs w:val="26"/>
        </w:rPr>
        <w:t xml:space="preserve">Calpine argued that the EGS Parties failed to acknowledge that the Commission has previously considered and rejected similar proposals in prior DSP </w:t>
      </w:r>
      <w:r w:rsidR="00B82A6E" w:rsidRPr="00E951F4">
        <w:rPr>
          <w:rFonts w:eastAsiaTheme="minorHAnsi"/>
          <w:sz w:val="26"/>
          <w:szCs w:val="26"/>
        </w:rPr>
        <w:t>p</w:t>
      </w:r>
      <w:r w:rsidRPr="00E951F4">
        <w:rPr>
          <w:rFonts w:eastAsiaTheme="minorHAnsi"/>
          <w:sz w:val="26"/>
          <w:szCs w:val="26"/>
        </w:rPr>
        <w:t>roceedings.  Additionally, Calpine submitted that the EGS Parties</w:t>
      </w:r>
      <w:r w:rsidR="00B82A6E" w:rsidRPr="00E951F4">
        <w:rPr>
          <w:rFonts w:eastAsiaTheme="minorHAnsi"/>
          <w:sz w:val="26"/>
          <w:szCs w:val="26"/>
        </w:rPr>
        <w:t>’</w:t>
      </w:r>
      <w:r w:rsidRPr="00E951F4">
        <w:rPr>
          <w:rFonts w:eastAsiaTheme="minorHAnsi"/>
          <w:sz w:val="26"/>
          <w:szCs w:val="26"/>
        </w:rPr>
        <w:t xml:space="preserve"> argument regarding the changes in how NITS are set and the resulting volatility in rates </w:t>
      </w:r>
      <w:r w:rsidR="008875CE" w:rsidRPr="00E951F4">
        <w:rPr>
          <w:rFonts w:eastAsiaTheme="minorHAnsi"/>
          <w:sz w:val="26"/>
          <w:szCs w:val="26"/>
        </w:rPr>
        <w:t>is</w:t>
      </w:r>
      <w:r w:rsidRPr="00E951F4">
        <w:rPr>
          <w:rFonts w:eastAsiaTheme="minorHAnsi"/>
          <w:sz w:val="26"/>
          <w:szCs w:val="26"/>
        </w:rPr>
        <w:t xml:space="preserve"> without merit because the formulas now used by FERC are still subject to a ratemaking process overseen and approved by FERC.  Therefore, Calpine asserted that there is a regulatory process in place at FERC for determining those rates as well as the ability to challenge those rates.  According to Calpine, this process at FERC does not negate the ability of </w:t>
      </w:r>
      <w:r w:rsidR="009C6662" w:rsidRPr="00E951F4">
        <w:rPr>
          <w:rFonts w:eastAsiaTheme="minorHAnsi"/>
          <w:sz w:val="26"/>
          <w:szCs w:val="26"/>
        </w:rPr>
        <w:t xml:space="preserve">the </w:t>
      </w:r>
      <w:r w:rsidRPr="00E951F4">
        <w:rPr>
          <w:rFonts w:eastAsiaTheme="minorHAnsi"/>
          <w:sz w:val="26"/>
          <w:szCs w:val="26"/>
        </w:rPr>
        <w:lastRenderedPageBreak/>
        <w:t>EGS companies to manage their loads and manage their NITS costs.  Calpine M.B. at</w:t>
      </w:r>
      <w:r w:rsidR="005036C9" w:rsidRPr="00E951F4">
        <w:rPr>
          <w:rFonts w:eastAsiaTheme="minorHAnsi"/>
          <w:sz w:val="26"/>
          <w:szCs w:val="26"/>
        </w:rPr>
        <w:t> </w:t>
      </w:r>
      <w:r w:rsidRPr="00E951F4">
        <w:rPr>
          <w:rFonts w:eastAsiaTheme="minorHAnsi"/>
          <w:sz w:val="26"/>
          <w:szCs w:val="26"/>
        </w:rPr>
        <w:t>3</w:t>
      </w:r>
      <w:r w:rsidRPr="00E951F4">
        <w:rPr>
          <w:rFonts w:eastAsiaTheme="minorHAnsi"/>
          <w:sz w:val="26"/>
          <w:szCs w:val="26"/>
        </w:rPr>
        <w:noBreakHyphen/>
        <w:t>4.</w:t>
      </w:r>
    </w:p>
    <w:p w14:paraId="6A5A88A7" w14:textId="77777777" w:rsidR="004A484B" w:rsidRPr="00E951F4" w:rsidRDefault="004A484B" w:rsidP="00E951F4">
      <w:pPr>
        <w:widowControl/>
        <w:spacing w:line="360" w:lineRule="auto"/>
        <w:ind w:firstLine="1440"/>
        <w:contextualSpacing/>
        <w:rPr>
          <w:rFonts w:eastAsiaTheme="minorHAnsi"/>
          <w:sz w:val="26"/>
          <w:szCs w:val="26"/>
        </w:rPr>
      </w:pPr>
    </w:p>
    <w:p w14:paraId="148DEE67" w14:textId="77777777" w:rsidR="00132B35" w:rsidRPr="00E951F4" w:rsidRDefault="00132B35" w:rsidP="00E951F4">
      <w:pPr>
        <w:widowControl/>
        <w:spacing w:after="200" w:line="360" w:lineRule="auto"/>
        <w:ind w:firstLine="1440"/>
        <w:contextualSpacing/>
        <w:rPr>
          <w:rFonts w:eastAsiaTheme="minorHAnsi"/>
          <w:sz w:val="26"/>
          <w:szCs w:val="26"/>
        </w:rPr>
      </w:pPr>
      <w:r w:rsidRPr="00E951F4">
        <w:rPr>
          <w:rFonts w:eastAsiaTheme="minorHAnsi"/>
          <w:sz w:val="26"/>
          <w:szCs w:val="26"/>
        </w:rPr>
        <w:t>Additionally, Calpine characterized the EGS Parties’ attempt to compare retail electric market products and services to a fully regulated default service as an “apples to oranges comparison.”  Calpine reasoned that default service is a one</w:t>
      </w:r>
      <w:r w:rsidRPr="00E951F4">
        <w:rPr>
          <w:rFonts w:eastAsiaTheme="minorHAnsi"/>
          <w:sz w:val="26"/>
          <w:szCs w:val="26"/>
        </w:rPr>
        <w:noBreakHyphen/>
        <w:t>size</w:t>
      </w:r>
      <w:r w:rsidRPr="00E951F4">
        <w:rPr>
          <w:rFonts w:eastAsiaTheme="minorHAnsi"/>
          <w:sz w:val="26"/>
          <w:szCs w:val="26"/>
        </w:rPr>
        <w:noBreakHyphen/>
        <w:t>fits</w:t>
      </w:r>
      <w:r w:rsidRPr="00E951F4">
        <w:rPr>
          <w:rFonts w:eastAsiaTheme="minorHAnsi"/>
          <w:sz w:val="26"/>
          <w:szCs w:val="26"/>
        </w:rPr>
        <w:noBreakHyphen/>
        <w:t>all service based on a uniform master supply agreement with no individually negotiated terms of service.  Conversely, Calpine submitted that EGSs have the freedom to build, establish, and promote innovative products and services to meet their individual customers’ needs, as well as the structure and timing of those services based on the EGS’s own business and management decisions.  Calpine M.B. at 4-5.</w:t>
      </w:r>
    </w:p>
    <w:p w14:paraId="23FF99B8" w14:textId="6054252C" w:rsidR="00132B35" w:rsidRPr="00E951F4" w:rsidRDefault="00132B35" w:rsidP="00E951F4">
      <w:pPr>
        <w:widowControl/>
        <w:spacing w:line="360" w:lineRule="auto"/>
        <w:contextualSpacing/>
        <w:rPr>
          <w:rFonts w:eastAsiaTheme="minorHAnsi"/>
          <w:sz w:val="26"/>
          <w:szCs w:val="26"/>
        </w:rPr>
      </w:pPr>
    </w:p>
    <w:p w14:paraId="1722EA8B" w14:textId="44DBF46A" w:rsidR="006C3CB3" w:rsidRPr="00E951F4" w:rsidRDefault="009945C4" w:rsidP="00E951F4">
      <w:pPr>
        <w:pStyle w:val="Heading3"/>
        <w:rPr>
          <w:rFonts w:eastAsiaTheme="minorHAnsi"/>
        </w:rPr>
      </w:pPr>
      <w:bookmarkStart w:id="71" w:name="_Toc59620140"/>
      <w:bookmarkStart w:id="72" w:name="_Toc60912036"/>
      <w:r w:rsidRPr="00E951F4">
        <w:rPr>
          <w:rFonts w:eastAsiaTheme="minorHAnsi"/>
        </w:rPr>
        <w:t>Recommended Decision</w:t>
      </w:r>
      <w:bookmarkEnd w:id="71"/>
      <w:bookmarkEnd w:id="72"/>
    </w:p>
    <w:p w14:paraId="1646367A" w14:textId="77777777" w:rsidR="00132B35" w:rsidRPr="00E951F4" w:rsidRDefault="00132B35" w:rsidP="00E951F4">
      <w:pPr>
        <w:keepNext/>
        <w:keepLines/>
        <w:widowControl/>
        <w:spacing w:line="360" w:lineRule="auto"/>
        <w:contextualSpacing/>
        <w:rPr>
          <w:rFonts w:eastAsiaTheme="minorHAnsi"/>
          <w:sz w:val="26"/>
          <w:szCs w:val="26"/>
        </w:rPr>
      </w:pPr>
    </w:p>
    <w:p w14:paraId="1EA4924E" w14:textId="0325E5A7" w:rsidR="00132B35" w:rsidRPr="00E951F4" w:rsidRDefault="00132B35" w:rsidP="00E951F4">
      <w:pPr>
        <w:keepNext/>
        <w:widowControl/>
        <w:spacing w:after="200" w:line="360" w:lineRule="auto"/>
        <w:ind w:firstLine="1440"/>
        <w:contextualSpacing/>
        <w:rPr>
          <w:rFonts w:eastAsiaTheme="minorHAnsi"/>
          <w:sz w:val="26"/>
          <w:szCs w:val="26"/>
        </w:rPr>
      </w:pPr>
      <w:r w:rsidRPr="00E951F4">
        <w:rPr>
          <w:rFonts w:eastAsiaTheme="minorHAnsi"/>
          <w:sz w:val="26"/>
          <w:szCs w:val="26"/>
        </w:rPr>
        <w:t>The ALJ agreed with the arguments of Duquesne Light and Calpine</w:t>
      </w:r>
      <w:r w:rsidRPr="00E951F4">
        <w:rPr>
          <w:rFonts w:eastAsiaTheme="minorHAnsi"/>
          <w:i/>
          <w:iCs/>
          <w:sz w:val="26"/>
          <w:szCs w:val="26"/>
        </w:rPr>
        <w:t xml:space="preserve"> </w:t>
      </w:r>
      <w:r w:rsidRPr="00E951F4">
        <w:rPr>
          <w:rFonts w:eastAsiaTheme="minorHAnsi"/>
          <w:sz w:val="26"/>
          <w:szCs w:val="26"/>
        </w:rPr>
        <w:t xml:space="preserve">that Duquesne Light should not be required to implement an NBT charge to recover NITS charges from all customers.  The ALJ quoted the testimony of Duquesne Light that this proposal has been rejected in two prior Duquesne Light DSP </w:t>
      </w:r>
      <w:r w:rsidR="00D07637" w:rsidRPr="00E951F4">
        <w:rPr>
          <w:rFonts w:eastAsiaTheme="minorHAnsi"/>
          <w:sz w:val="26"/>
          <w:szCs w:val="26"/>
        </w:rPr>
        <w:t>p</w:t>
      </w:r>
      <w:r w:rsidRPr="00E951F4">
        <w:rPr>
          <w:rFonts w:eastAsiaTheme="minorHAnsi"/>
          <w:sz w:val="26"/>
          <w:szCs w:val="26"/>
        </w:rPr>
        <w:t xml:space="preserve">roceedings.  The ALJ also found compelling the reasons proffered by Duquesne Light and Calpine for why </w:t>
      </w:r>
      <w:r w:rsidR="00783DD9" w:rsidRPr="00E951F4">
        <w:rPr>
          <w:rFonts w:eastAsiaTheme="minorHAnsi"/>
          <w:sz w:val="26"/>
          <w:szCs w:val="26"/>
        </w:rPr>
        <w:t xml:space="preserve">the </w:t>
      </w:r>
      <w:r w:rsidRPr="00E951F4">
        <w:rPr>
          <w:rFonts w:eastAsiaTheme="minorHAnsi"/>
          <w:sz w:val="26"/>
          <w:szCs w:val="26"/>
        </w:rPr>
        <w:t>EGSs should be required to recover NITS charges from their customers directly.  According to the ALJ, Duquesne Light should continue to collect NITS charges only from default service customers, while EGSs should continue to collect NITS charges from shopping customers.  Therefore, the ALJ recommended that the Commission reject the EGS Parties’ proposal.  R.D. at 32-36.</w:t>
      </w:r>
    </w:p>
    <w:p w14:paraId="2A8D85B7" w14:textId="77777777" w:rsidR="00132B35" w:rsidRPr="00E951F4" w:rsidRDefault="00132B35" w:rsidP="00E951F4">
      <w:pPr>
        <w:widowControl/>
        <w:spacing w:line="360" w:lineRule="auto"/>
        <w:contextualSpacing/>
        <w:rPr>
          <w:rFonts w:eastAsiaTheme="minorHAnsi"/>
          <w:sz w:val="26"/>
          <w:szCs w:val="26"/>
        </w:rPr>
      </w:pPr>
    </w:p>
    <w:p w14:paraId="124F8CFC" w14:textId="3802F6B6" w:rsidR="00132B35" w:rsidRPr="00E951F4" w:rsidRDefault="00132B35" w:rsidP="00E951F4">
      <w:pPr>
        <w:pStyle w:val="Heading3"/>
        <w:rPr>
          <w:rFonts w:eastAsiaTheme="majorEastAsia"/>
        </w:rPr>
      </w:pPr>
      <w:bookmarkStart w:id="73" w:name="_Toc59620141"/>
      <w:bookmarkStart w:id="74" w:name="_Toc60912037"/>
      <w:r w:rsidRPr="00E951F4">
        <w:rPr>
          <w:rFonts w:eastAsiaTheme="majorEastAsia"/>
        </w:rPr>
        <w:t>EGS Parties’ Exception No. 2</w:t>
      </w:r>
      <w:r w:rsidR="00C47B6F" w:rsidRPr="00E951F4">
        <w:rPr>
          <w:rFonts w:eastAsiaTheme="majorEastAsia"/>
        </w:rPr>
        <w:t xml:space="preserve"> and </w:t>
      </w:r>
      <w:r w:rsidR="00EF05E5" w:rsidRPr="00E951F4">
        <w:rPr>
          <w:rFonts w:eastAsiaTheme="majorEastAsia"/>
        </w:rPr>
        <w:t>Replies</w:t>
      </w:r>
      <w:bookmarkEnd w:id="73"/>
      <w:bookmarkEnd w:id="74"/>
    </w:p>
    <w:p w14:paraId="10E04850" w14:textId="77777777" w:rsidR="00132B35" w:rsidRPr="00E951F4" w:rsidRDefault="00132B35" w:rsidP="00E951F4">
      <w:pPr>
        <w:keepNext/>
        <w:keepLines/>
        <w:widowControl/>
        <w:spacing w:line="360" w:lineRule="auto"/>
        <w:contextualSpacing/>
        <w:rPr>
          <w:rFonts w:eastAsiaTheme="minorHAnsi"/>
          <w:sz w:val="26"/>
          <w:szCs w:val="26"/>
        </w:rPr>
      </w:pPr>
    </w:p>
    <w:p w14:paraId="49BCBDB9" w14:textId="72B0CAE3" w:rsidR="00132B35" w:rsidRPr="00E951F4" w:rsidRDefault="00132B35" w:rsidP="00E951F4">
      <w:pPr>
        <w:keepNext/>
        <w:widowControl/>
        <w:spacing w:line="360" w:lineRule="auto"/>
        <w:ind w:firstLine="1440"/>
        <w:contextualSpacing/>
        <w:rPr>
          <w:rFonts w:eastAsiaTheme="minorHAnsi"/>
          <w:sz w:val="26"/>
          <w:szCs w:val="26"/>
        </w:rPr>
      </w:pPr>
      <w:r w:rsidRPr="00E951F4">
        <w:rPr>
          <w:rFonts w:eastAsiaTheme="minorHAnsi"/>
          <w:sz w:val="26"/>
          <w:szCs w:val="26"/>
        </w:rPr>
        <w:t xml:space="preserve">In their Exception No. 2, the EGS Parties remain of the opinion that Duquesne Light should be required to charge </w:t>
      </w:r>
      <w:r w:rsidR="00783DD9" w:rsidRPr="00E951F4">
        <w:rPr>
          <w:rFonts w:eastAsiaTheme="minorHAnsi"/>
          <w:sz w:val="26"/>
          <w:szCs w:val="26"/>
        </w:rPr>
        <w:t xml:space="preserve">the </w:t>
      </w:r>
      <w:r w:rsidRPr="00E951F4">
        <w:rPr>
          <w:rFonts w:eastAsiaTheme="minorHAnsi"/>
          <w:sz w:val="26"/>
          <w:szCs w:val="26"/>
        </w:rPr>
        <w:t xml:space="preserve">EGS customers for NITS charges, and </w:t>
      </w:r>
      <w:r w:rsidRPr="00E951F4">
        <w:rPr>
          <w:rFonts w:eastAsiaTheme="minorHAnsi"/>
          <w:sz w:val="26"/>
          <w:szCs w:val="26"/>
        </w:rPr>
        <w:lastRenderedPageBreak/>
        <w:t xml:space="preserve">argue that the ALJ erred by failing to recommend the adoption of this proposal.  The EGS Parties insist that disparity exists as a result of Duquesne Light’s current practice of collecting NITS through a bypassable TSC applicable only to its default service customers, resulting in harm and unwarranted discrimination for shopping customers and their suppliers.  Namely, the EGS Parties contend that </w:t>
      </w:r>
      <w:r w:rsidR="001E5641" w:rsidRPr="00E951F4">
        <w:rPr>
          <w:rFonts w:eastAsiaTheme="minorHAnsi"/>
          <w:sz w:val="26"/>
          <w:szCs w:val="26"/>
        </w:rPr>
        <w:t xml:space="preserve">the </w:t>
      </w:r>
      <w:r w:rsidRPr="00E951F4">
        <w:rPr>
          <w:rFonts w:eastAsiaTheme="minorHAnsi"/>
          <w:sz w:val="26"/>
          <w:szCs w:val="26"/>
        </w:rPr>
        <w:t xml:space="preserve">ALJ failed to recognize that this current practice permits Duquesne Light to use its position as a monopoly provider of billing services to provide an advantage to default service customers at the expense of shopping customers.  The EGS Parties restate their position that while Duquesne Light collects NITS from default service customers through a reconciled charge that levelizes recovery over time and minimizes the rate shock that can be associated with the volatile and increasing NITS costs, </w:t>
      </w:r>
      <w:r w:rsidR="00783DD9" w:rsidRPr="00E951F4">
        <w:rPr>
          <w:rFonts w:eastAsiaTheme="minorHAnsi"/>
          <w:sz w:val="26"/>
          <w:szCs w:val="26"/>
        </w:rPr>
        <w:t xml:space="preserve">the </w:t>
      </w:r>
      <w:r w:rsidRPr="00E951F4">
        <w:rPr>
          <w:rFonts w:eastAsiaTheme="minorHAnsi"/>
          <w:sz w:val="26"/>
          <w:szCs w:val="26"/>
        </w:rPr>
        <w:t>EGSs must bill their customers for the full amount of any increase on an immediate basis.  EGS Parties Exc. at 1, 3.</w:t>
      </w:r>
    </w:p>
    <w:p w14:paraId="50A78EA7" w14:textId="77777777" w:rsidR="002C02C0" w:rsidRPr="00E951F4" w:rsidRDefault="002C02C0" w:rsidP="00E951F4">
      <w:pPr>
        <w:widowControl/>
        <w:spacing w:line="360" w:lineRule="auto"/>
        <w:ind w:firstLine="1440"/>
        <w:contextualSpacing/>
        <w:rPr>
          <w:rFonts w:eastAsiaTheme="minorHAnsi"/>
          <w:sz w:val="26"/>
          <w:szCs w:val="26"/>
        </w:rPr>
      </w:pPr>
    </w:p>
    <w:p w14:paraId="3CF5D9F0" w14:textId="581C3146" w:rsidR="00132B35" w:rsidRPr="00E951F4" w:rsidRDefault="00132B35" w:rsidP="00E951F4">
      <w:pPr>
        <w:widowControl/>
        <w:spacing w:line="360" w:lineRule="auto"/>
        <w:ind w:firstLine="1440"/>
        <w:contextualSpacing/>
        <w:rPr>
          <w:rFonts w:eastAsiaTheme="minorHAnsi"/>
          <w:sz w:val="26"/>
          <w:szCs w:val="26"/>
        </w:rPr>
      </w:pPr>
      <w:r w:rsidRPr="00E951F4">
        <w:rPr>
          <w:rFonts w:eastAsiaTheme="minorHAnsi"/>
          <w:sz w:val="26"/>
          <w:szCs w:val="26"/>
        </w:rPr>
        <w:t xml:space="preserve">According to the EGS Parties, the ALJ also erred in adopting Duquesne’s assertion that because </w:t>
      </w:r>
      <w:r w:rsidR="000241A0" w:rsidRPr="00E951F4">
        <w:rPr>
          <w:rFonts w:eastAsiaTheme="minorHAnsi"/>
          <w:sz w:val="26"/>
          <w:szCs w:val="26"/>
        </w:rPr>
        <w:t xml:space="preserve">the </w:t>
      </w:r>
      <w:r w:rsidRPr="00E951F4">
        <w:rPr>
          <w:rFonts w:eastAsiaTheme="minorHAnsi"/>
          <w:sz w:val="26"/>
          <w:szCs w:val="26"/>
        </w:rPr>
        <w:t>EGSs have the ability to charge customers for NITS on a dollar</w:t>
      </w:r>
      <w:r w:rsidRPr="00E951F4">
        <w:rPr>
          <w:rFonts w:eastAsiaTheme="minorHAnsi"/>
          <w:sz w:val="26"/>
          <w:szCs w:val="26"/>
        </w:rPr>
        <w:noBreakHyphen/>
        <w:t xml:space="preserve">for-dollar basis, no discrimination exists.  The EGS Parties claim that given the Commission’s Order on </w:t>
      </w:r>
      <w:r w:rsidRPr="00E951F4">
        <w:rPr>
          <w:rFonts w:eastAsiaTheme="minorHAnsi"/>
          <w:i/>
          <w:sz w:val="26"/>
          <w:szCs w:val="26"/>
        </w:rPr>
        <w:t xml:space="preserve">Guidelines for Use of Fixed Price Labels for Products With a Pass Through Clause, </w:t>
      </w:r>
      <w:r w:rsidRPr="00E951F4">
        <w:rPr>
          <w:rFonts w:eastAsiaTheme="minorHAnsi"/>
          <w:iCs/>
          <w:sz w:val="26"/>
          <w:szCs w:val="26"/>
        </w:rPr>
        <w:t>Docket No. M-2013-2362962 (Order entered November 14, 2013) (</w:t>
      </w:r>
      <w:r w:rsidRPr="00E951F4">
        <w:rPr>
          <w:rFonts w:eastAsiaTheme="minorHAnsi"/>
          <w:i/>
          <w:iCs/>
          <w:sz w:val="26"/>
          <w:szCs w:val="26"/>
        </w:rPr>
        <w:t>Fixed Price Order</w:t>
      </w:r>
      <w:r w:rsidRPr="00E951F4">
        <w:rPr>
          <w:rFonts w:eastAsiaTheme="minorHAnsi"/>
          <w:iCs/>
          <w:sz w:val="26"/>
          <w:szCs w:val="26"/>
        </w:rPr>
        <w:t xml:space="preserve">), the Commission does not </w:t>
      </w:r>
      <w:r w:rsidRPr="00E951F4">
        <w:rPr>
          <w:rFonts w:eastAsiaTheme="minorHAnsi"/>
          <w:sz w:val="26"/>
          <w:szCs w:val="26"/>
        </w:rPr>
        <w:t xml:space="preserve">allow a fixed rate to change to adapt to varying transmission charges.  As such, the EGS Parties posit that a fixed rate, which is the most commonly used rate structure, would not be able to recover NITS charges without the EGS having to negotiate the contract for each rate change, which, the EGS Parties claim, is not practical.  In the EGS Parties’ view, the Company’s arguments, as adopted by the ALJ, are nothing more than a smokescreen designed to hide the fact that </w:t>
      </w:r>
      <w:r w:rsidR="008D4D7E" w:rsidRPr="00E951F4">
        <w:rPr>
          <w:rFonts w:eastAsiaTheme="minorHAnsi"/>
          <w:sz w:val="26"/>
          <w:szCs w:val="26"/>
        </w:rPr>
        <w:t>the Company</w:t>
      </w:r>
      <w:r w:rsidRPr="00E951F4">
        <w:rPr>
          <w:rFonts w:eastAsiaTheme="minorHAnsi"/>
          <w:sz w:val="26"/>
          <w:szCs w:val="26"/>
        </w:rPr>
        <w:t xml:space="preserve"> discriminates against suppliers so that it can maintain a competitive advantage.  Accordingly, the EGS Parties submit that the Commission should reverse the ALJ’s recommendation.  EGS Parties Exc. at 3-4.</w:t>
      </w:r>
    </w:p>
    <w:p w14:paraId="3EB6ADBF" w14:textId="77777777" w:rsidR="00132B35" w:rsidRPr="00E951F4" w:rsidRDefault="00132B35" w:rsidP="00E951F4">
      <w:pPr>
        <w:widowControl/>
        <w:spacing w:line="360" w:lineRule="auto"/>
        <w:contextualSpacing/>
        <w:rPr>
          <w:rFonts w:eastAsiaTheme="minorHAnsi"/>
          <w:sz w:val="26"/>
          <w:szCs w:val="26"/>
        </w:rPr>
      </w:pPr>
    </w:p>
    <w:p w14:paraId="01343EE6" w14:textId="413D751C" w:rsidR="00132B35" w:rsidRPr="00E951F4" w:rsidRDefault="00132B35" w:rsidP="000F2202">
      <w:pPr>
        <w:keepNext/>
        <w:widowControl/>
        <w:spacing w:line="360" w:lineRule="auto"/>
        <w:ind w:left="720" w:firstLine="720"/>
        <w:rPr>
          <w:rFonts w:eastAsiaTheme="majorEastAsia"/>
          <w:b/>
          <w:bCs/>
          <w:sz w:val="26"/>
          <w:szCs w:val="26"/>
        </w:rPr>
      </w:pPr>
      <w:r w:rsidRPr="00E951F4">
        <w:rPr>
          <w:rFonts w:eastAsiaTheme="majorEastAsia"/>
          <w:b/>
          <w:bCs/>
          <w:sz w:val="26"/>
          <w:szCs w:val="26"/>
        </w:rPr>
        <w:lastRenderedPageBreak/>
        <w:t>Duquesne Light Replies</w:t>
      </w:r>
    </w:p>
    <w:p w14:paraId="4C5DAE1C" w14:textId="77777777" w:rsidR="00132B35" w:rsidRPr="00E951F4" w:rsidRDefault="00132B35" w:rsidP="00E951F4">
      <w:pPr>
        <w:keepNext/>
        <w:widowControl/>
        <w:spacing w:line="360" w:lineRule="auto"/>
        <w:rPr>
          <w:rFonts w:eastAsiaTheme="minorHAnsi"/>
          <w:sz w:val="26"/>
          <w:szCs w:val="26"/>
        </w:rPr>
      </w:pPr>
    </w:p>
    <w:p w14:paraId="40ED36A0" w14:textId="02986A08" w:rsidR="00132B35" w:rsidRPr="00E951F4" w:rsidRDefault="00132B35" w:rsidP="00E951F4">
      <w:pPr>
        <w:keepNext/>
        <w:widowControl/>
        <w:spacing w:line="360" w:lineRule="auto"/>
        <w:ind w:firstLine="1440"/>
        <w:contextualSpacing/>
        <w:rPr>
          <w:rFonts w:eastAsiaTheme="minorHAnsi"/>
          <w:sz w:val="26"/>
          <w:szCs w:val="26"/>
        </w:rPr>
      </w:pPr>
      <w:r w:rsidRPr="00E951F4">
        <w:rPr>
          <w:rFonts w:eastAsiaTheme="minorHAnsi"/>
          <w:sz w:val="26"/>
          <w:szCs w:val="26"/>
        </w:rPr>
        <w:t xml:space="preserve">In its Replies to Exceptions, Duquesne Light counters that the ALJ correctly recommended that the EGS Parties’ proposal be denied, and correctly noted that the Commission denied similar proposals in </w:t>
      </w:r>
      <w:r w:rsidRPr="00E951F4">
        <w:rPr>
          <w:rFonts w:eastAsiaTheme="minorHAnsi"/>
          <w:i/>
          <w:iCs/>
          <w:sz w:val="26"/>
          <w:szCs w:val="26"/>
        </w:rPr>
        <w:t>Duquesne Light DSP VI</w:t>
      </w:r>
      <w:r w:rsidRPr="00E951F4">
        <w:rPr>
          <w:rFonts w:eastAsiaTheme="minorHAnsi"/>
          <w:sz w:val="26"/>
          <w:szCs w:val="26"/>
        </w:rPr>
        <w:t xml:space="preserve"> and </w:t>
      </w:r>
      <w:r w:rsidRPr="00E951F4">
        <w:rPr>
          <w:rFonts w:eastAsiaTheme="minorHAnsi"/>
          <w:i/>
          <w:iCs/>
          <w:sz w:val="26"/>
          <w:szCs w:val="26"/>
        </w:rPr>
        <w:t xml:space="preserve">Duquesne Light DSP VII.  </w:t>
      </w:r>
      <w:r w:rsidRPr="00E951F4">
        <w:rPr>
          <w:rFonts w:eastAsiaTheme="minorHAnsi"/>
          <w:sz w:val="26"/>
          <w:szCs w:val="26"/>
        </w:rPr>
        <w:t xml:space="preserve">Duquesne Light submits that contrary to the EGS Parties’ assertion, the Company is not a monopoly biller on its system because </w:t>
      </w:r>
      <w:r w:rsidR="002C02C0" w:rsidRPr="00E951F4">
        <w:rPr>
          <w:rFonts w:eastAsiaTheme="minorHAnsi"/>
          <w:sz w:val="26"/>
          <w:szCs w:val="26"/>
        </w:rPr>
        <w:t xml:space="preserve">the </w:t>
      </w:r>
      <w:r w:rsidRPr="00E951F4">
        <w:rPr>
          <w:rFonts w:eastAsiaTheme="minorHAnsi"/>
          <w:sz w:val="26"/>
          <w:szCs w:val="26"/>
        </w:rPr>
        <w:t xml:space="preserve">EGSs have the option to separately bill their own services to customers.  Additionally, Duquesne Light observes that in their briefs, which they incorporated by reference in their Exceptions, the EGS Parties relied on the Commission’s decision in </w:t>
      </w:r>
      <w:r w:rsidRPr="00E951F4">
        <w:rPr>
          <w:rFonts w:eastAsiaTheme="minorHAnsi"/>
          <w:i/>
          <w:iCs/>
          <w:sz w:val="26"/>
          <w:szCs w:val="26"/>
        </w:rPr>
        <w:t xml:space="preserve">Columbia </w:t>
      </w:r>
      <w:r w:rsidRPr="00E951F4">
        <w:rPr>
          <w:rFonts w:eastAsiaTheme="minorHAnsi"/>
          <w:sz w:val="26"/>
          <w:szCs w:val="26"/>
        </w:rPr>
        <w:t xml:space="preserve">for the premise that the provision of billing service for “non-commodity products and services” is a public utility service and must comply with the non-discrimination provisions of the Code.  However, Duquesne Light submits that </w:t>
      </w:r>
      <w:r w:rsidRPr="00E951F4">
        <w:rPr>
          <w:rFonts w:eastAsiaTheme="minorHAnsi"/>
          <w:i/>
          <w:iCs/>
          <w:sz w:val="26"/>
          <w:szCs w:val="26"/>
        </w:rPr>
        <w:t>Columbia</w:t>
      </w:r>
      <w:r w:rsidRPr="00E951F4">
        <w:rPr>
          <w:rFonts w:eastAsiaTheme="minorHAnsi"/>
          <w:sz w:val="26"/>
          <w:szCs w:val="26"/>
        </w:rPr>
        <w:t xml:space="preserve"> centered on the billing of non-basic service charges.  In contrast, Duquesne Light contends that the instant proceeding centers on the billing of unbundled basic service transmission costs that are required to be separately stated to customers for generation, transmission, and distribution.  According to Duquesne Light, requiring a default service provider to collect EGS transmission charges with default service transmission charges would rebundle those charges in contravention to the unbundling requirements of the Competition Act.  Duquesne Light R. Exc. at</w:t>
      </w:r>
      <w:r w:rsidR="00691B03" w:rsidRPr="00E951F4">
        <w:rPr>
          <w:rFonts w:eastAsiaTheme="minorHAnsi"/>
          <w:sz w:val="26"/>
          <w:szCs w:val="26"/>
        </w:rPr>
        <w:t> </w:t>
      </w:r>
      <w:r w:rsidRPr="00E951F4">
        <w:rPr>
          <w:rFonts w:eastAsiaTheme="minorHAnsi"/>
          <w:sz w:val="26"/>
          <w:szCs w:val="26"/>
        </w:rPr>
        <w:t>10</w:t>
      </w:r>
      <w:r w:rsidRPr="00E951F4">
        <w:rPr>
          <w:rFonts w:eastAsiaTheme="minorHAnsi"/>
          <w:sz w:val="26"/>
          <w:szCs w:val="26"/>
        </w:rPr>
        <w:noBreakHyphen/>
        <w:t>11.</w:t>
      </w:r>
    </w:p>
    <w:p w14:paraId="5AC5B62B" w14:textId="77777777" w:rsidR="003D247E" w:rsidRPr="00E951F4" w:rsidRDefault="003D247E" w:rsidP="00E951F4">
      <w:pPr>
        <w:widowControl/>
        <w:spacing w:line="360" w:lineRule="auto"/>
        <w:ind w:firstLine="1440"/>
        <w:contextualSpacing/>
        <w:rPr>
          <w:rFonts w:eastAsiaTheme="minorHAnsi"/>
          <w:sz w:val="26"/>
          <w:szCs w:val="26"/>
        </w:rPr>
      </w:pPr>
    </w:p>
    <w:p w14:paraId="50FF8510" w14:textId="672783F9" w:rsidR="00132B35" w:rsidRPr="00E951F4" w:rsidRDefault="00132B35" w:rsidP="00E951F4">
      <w:pPr>
        <w:widowControl/>
        <w:spacing w:line="360" w:lineRule="auto"/>
        <w:ind w:firstLine="1440"/>
        <w:contextualSpacing/>
        <w:rPr>
          <w:rFonts w:eastAsiaTheme="minorHAnsi"/>
          <w:sz w:val="26"/>
          <w:szCs w:val="26"/>
        </w:rPr>
      </w:pPr>
      <w:r w:rsidRPr="00E951F4">
        <w:rPr>
          <w:rFonts w:eastAsiaTheme="minorHAnsi"/>
          <w:sz w:val="26"/>
          <w:szCs w:val="26"/>
        </w:rPr>
        <w:t xml:space="preserve">Duquesne Light also refutes the EGS Parties’ argument that Commission </w:t>
      </w:r>
      <w:r w:rsidR="00FA5EA6" w:rsidRPr="00E951F4">
        <w:rPr>
          <w:rFonts w:eastAsiaTheme="minorHAnsi"/>
          <w:sz w:val="26"/>
          <w:szCs w:val="26"/>
        </w:rPr>
        <w:t>R</w:t>
      </w:r>
      <w:r w:rsidRPr="00E951F4">
        <w:rPr>
          <w:rFonts w:eastAsiaTheme="minorHAnsi"/>
          <w:sz w:val="26"/>
          <w:szCs w:val="26"/>
        </w:rPr>
        <w:t>egulations prevent an EGS from changing fixed price contracts.  Duquesne Light submits that an EGS may offer fixed prices for generation and use a variable price for transmission charges.  Additionally, Duquesne Light posits that the EGS Parties are clearly able to mitigate or eliminate the risk of NITS price variations in their contracts with customers.  Therefore, Duquesne Light asserts that the EGS Parties’ second Exception should be denied.  Duquesne Light R. Exc. at 11.</w:t>
      </w:r>
    </w:p>
    <w:p w14:paraId="75A0881B" w14:textId="77777777" w:rsidR="00132B35" w:rsidRPr="00E951F4" w:rsidRDefault="00132B35" w:rsidP="00E951F4">
      <w:pPr>
        <w:widowControl/>
        <w:spacing w:line="360" w:lineRule="auto"/>
        <w:contextualSpacing/>
        <w:rPr>
          <w:rFonts w:eastAsiaTheme="minorHAnsi"/>
          <w:sz w:val="26"/>
          <w:szCs w:val="26"/>
        </w:rPr>
      </w:pPr>
    </w:p>
    <w:p w14:paraId="2A927716" w14:textId="5A18EFBD" w:rsidR="00132B35" w:rsidRPr="00E951F4" w:rsidRDefault="00132B35" w:rsidP="001A278C">
      <w:pPr>
        <w:keepNext/>
        <w:widowControl/>
        <w:spacing w:line="360" w:lineRule="auto"/>
        <w:ind w:firstLine="720"/>
        <w:rPr>
          <w:rFonts w:eastAsiaTheme="majorEastAsia"/>
          <w:b/>
          <w:bCs/>
          <w:sz w:val="26"/>
          <w:szCs w:val="26"/>
        </w:rPr>
      </w:pPr>
      <w:r w:rsidRPr="00E951F4">
        <w:rPr>
          <w:rFonts w:eastAsiaTheme="majorEastAsia"/>
          <w:b/>
          <w:bCs/>
          <w:sz w:val="26"/>
          <w:szCs w:val="26"/>
        </w:rPr>
        <w:lastRenderedPageBreak/>
        <w:t>Calpine’s Replies</w:t>
      </w:r>
    </w:p>
    <w:p w14:paraId="4FEF4375" w14:textId="77777777" w:rsidR="00132B35" w:rsidRPr="00E951F4" w:rsidRDefault="00132B35" w:rsidP="00E951F4">
      <w:pPr>
        <w:keepNext/>
        <w:widowControl/>
        <w:spacing w:line="360" w:lineRule="auto"/>
        <w:rPr>
          <w:rFonts w:eastAsiaTheme="minorHAnsi"/>
          <w:sz w:val="26"/>
          <w:szCs w:val="26"/>
        </w:rPr>
      </w:pPr>
    </w:p>
    <w:p w14:paraId="28FBCFC0" w14:textId="5172B145" w:rsidR="00132B35" w:rsidRPr="00E951F4" w:rsidRDefault="00132B35" w:rsidP="00E951F4">
      <w:pPr>
        <w:keepNext/>
        <w:widowControl/>
        <w:spacing w:line="360" w:lineRule="auto"/>
        <w:ind w:firstLine="1440"/>
        <w:contextualSpacing/>
        <w:rPr>
          <w:rFonts w:eastAsiaTheme="minorHAnsi"/>
          <w:sz w:val="26"/>
          <w:szCs w:val="26"/>
        </w:rPr>
      </w:pPr>
      <w:r w:rsidRPr="00E951F4">
        <w:rPr>
          <w:rFonts w:eastAsiaTheme="minorHAnsi"/>
          <w:sz w:val="26"/>
          <w:szCs w:val="26"/>
        </w:rPr>
        <w:t xml:space="preserve">In its Replies to Exceptions, Calpine submits that if the Commission reverses the ALJ’s recommendation and the EGS Parties’ proposal is adopted, </w:t>
      </w:r>
      <w:r w:rsidR="00C0219B" w:rsidRPr="00E951F4">
        <w:rPr>
          <w:rFonts w:eastAsiaTheme="minorHAnsi"/>
          <w:sz w:val="26"/>
          <w:szCs w:val="26"/>
        </w:rPr>
        <w:t>this</w:t>
      </w:r>
      <w:r w:rsidRPr="00E951F4">
        <w:rPr>
          <w:rFonts w:eastAsiaTheme="minorHAnsi"/>
          <w:sz w:val="26"/>
          <w:szCs w:val="26"/>
        </w:rPr>
        <w:t xml:space="preserve"> would eliminate an important element of competition among </w:t>
      </w:r>
      <w:r w:rsidR="001B0745" w:rsidRPr="00E951F4">
        <w:rPr>
          <w:rFonts w:eastAsiaTheme="minorHAnsi"/>
          <w:sz w:val="26"/>
          <w:szCs w:val="26"/>
        </w:rPr>
        <w:t xml:space="preserve">the </w:t>
      </w:r>
      <w:r w:rsidRPr="00E951F4">
        <w:rPr>
          <w:rFonts w:eastAsiaTheme="minorHAnsi"/>
          <w:sz w:val="26"/>
          <w:szCs w:val="26"/>
        </w:rPr>
        <w:t xml:space="preserve">EGSs as LSEs.  According to Calpine, there is a clear distinction between </w:t>
      </w:r>
      <w:bookmarkStart w:id="75" w:name="_Hlk59055010"/>
      <w:r w:rsidRPr="00E951F4">
        <w:rPr>
          <w:rFonts w:eastAsiaTheme="minorHAnsi"/>
          <w:sz w:val="26"/>
          <w:szCs w:val="26"/>
        </w:rPr>
        <w:t>default service and service from an EGS.</w:t>
      </w:r>
      <w:bookmarkEnd w:id="75"/>
      <w:r w:rsidRPr="00E951F4">
        <w:rPr>
          <w:rFonts w:eastAsiaTheme="minorHAnsi"/>
          <w:sz w:val="26"/>
          <w:szCs w:val="26"/>
        </w:rPr>
        <w:t xml:space="preserve">  More specifically, Calpine restates that default service is intended to be a “one size fits all program” implemented through a very prescriptive standardized master service agreement in which all terms and conditions, including timing, amount of load, and risk of load migration, are based on these predetermined terms.  In contrast, Calpine explains that </w:t>
      </w:r>
      <w:r w:rsidR="000241A0" w:rsidRPr="00E951F4">
        <w:rPr>
          <w:rFonts w:eastAsiaTheme="minorHAnsi"/>
          <w:sz w:val="26"/>
          <w:szCs w:val="26"/>
        </w:rPr>
        <w:t xml:space="preserve">the </w:t>
      </w:r>
      <w:r w:rsidRPr="00E951F4">
        <w:rPr>
          <w:rFonts w:eastAsiaTheme="minorHAnsi"/>
          <w:sz w:val="26"/>
          <w:szCs w:val="26"/>
        </w:rPr>
        <w:t>EGSs are not under any default service set of mandated requirements, but are instead able to customize offerings based upon their own business model, management decisions, load</w:t>
      </w:r>
      <w:r w:rsidR="00232ED9" w:rsidRPr="00E951F4">
        <w:rPr>
          <w:rFonts w:eastAsiaTheme="minorHAnsi"/>
          <w:sz w:val="26"/>
          <w:szCs w:val="26"/>
        </w:rPr>
        <w:t>,</w:t>
      </w:r>
      <w:r w:rsidRPr="00E951F4">
        <w:rPr>
          <w:rFonts w:eastAsiaTheme="minorHAnsi"/>
          <w:sz w:val="26"/>
          <w:szCs w:val="26"/>
        </w:rPr>
        <w:t xml:space="preserve"> and demands.  As such, Calpine argues that </w:t>
      </w:r>
      <w:r w:rsidR="000241A0" w:rsidRPr="00E951F4">
        <w:rPr>
          <w:rFonts w:eastAsiaTheme="minorHAnsi"/>
          <w:sz w:val="26"/>
          <w:szCs w:val="26"/>
        </w:rPr>
        <w:t xml:space="preserve">the </w:t>
      </w:r>
      <w:r w:rsidRPr="00E951F4">
        <w:rPr>
          <w:rFonts w:eastAsiaTheme="minorHAnsi"/>
          <w:sz w:val="26"/>
          <w:szCs w:val="26"/>
        </w:rPr>
        <w:t>EGSs should be responsible and accountable for their own business decisions.  Calpine opines that the EGS Parties’ proposal erroneously assumes that all EGSs would be presumed to face the exact same load and demand when this is not the case in reality.  Rather, Calpine points out that each EGS has its own demand load and level of expertise, operational capability, and management and decision making.  Therefore, Calpine submits that the EGS Parties’ Exception No. 2 should be rejected.  Calpine R. Exc. at 2-3.</w:t>
      </w:r>
    </w:p>
    <w:p w14:paraId="5F5DAFF8" w14:textId="77777777" w:rsidR="00132B35" w:rsidRPr="00E951F4" w:rsidRDefault="00132B35" w:rsidP="00E951F4">
      <w:pPr>
        <w:widowControl/>
        <w:spacing w:line="360" w:lineRule="auto"/>
        <w:ind w:firstLine="1440"/>
        <w:contextualSpacing/>
        <w:rPr>
          <w:rFonts w:eastAsiaTheme="minorHAnsi"/>
          <w:sz w:val="26"/>
          <w:szCs w:val="26"/>
        </w:rPr>
      </w:pPr>
    </w:p>
    <w:p w14:paraId="098E46F3" w14:textId="2076BBE1" w:rsidR="00132B35" w:rsidRPr="00E951F4" w:rsidRDefault="00132B35" w:rsidP="00E951F4">
      <w:pPr>
        <w:pStyle w:val="Heading3"/>
        <w:rPr>
          <w:rFonts w:eastAsiaTheme="majorEastAsia"/>
        </w:rPr>
      </w:pPr>
      <w:bookmarkStart w:id="76" w:name="_Toc59620142"/>
      <w:bookmarkStart w:id="77" w:name="_Toc60912038"/>
      <w:r w:rsidRPr="00E951F4">
        <w:rPr>
          <w:rFonts w:eastAsiaTheme="majorEastAsia"/>
        </w:rPr>
        <w:t>Disposition</w:t>
      </w:r>
      <w:bookmarkEnd w:id="76"/>
      <w:bookmarkEnd w:id="77"/>
    </w:p>
    <w:p w14:paraId="324492DF" w14:textId="77777777" w:rsidR="00132B35" w:rsidRPr="00E951F4" w:rsidRDefault="00132B35" w:rsidP="00E951F4">
      <w:pPr>
        <w:keepNext/>
        <w:keepLines/>
        <w:widowControl/>
        <w:spacing w:line="360" w:lineRule="auto"/>
        <w:contextualSpacing/>
        <w:rPr>
          <w:rFonts w:eastAsiaTheme="minorHAnsi"/>
          <w:sz w:val="26"/>
          <w:szCs w:val="26"/>
        </w:rPr>
      </w:pPr>
    </w:p>
    <w:p w14:paraId="0BC35081" w14:textId="5683A42F" w:rsidR="00132B35" w:rsidRPr="00E951F4" w:rsidRDefault="00132B35" w:rsidP="00E951F4">
      <w:pPr>
        <w:keepNext/>
        <w:widowControl/>
        <w:spacing w:line="360" w:lineRule="auto"/>
        <w:ind w:firstLine="1440"/>
        <w:contextualSpacing/>
        <w:rPr>
          <w:rFonts w:eastAsiaTheme="minorHAnsi"/>
          <w:sz w:val="26"/>
          <w:szCs w:val="26"/>
        </w:rPr>
      </w:pPr>
      <w:r w:rsidRPr="00E951F4">
        <w:rPr>
          <w:rFonts w:eastAsiaTheme="minorHAnsi"/>
          <w:sz w:val="26"/>
          <w:szCs w:val="26"/>
        </w:rPr>
        <w:t xml:space="preserve">We shall deny the EGS Parties’ Exception No. 2.  </w:t>
      </w:r>
      <w:r w:rsidRPr="00E951F4">
        <w:rPr>
          <w:rFonts w:eastAsiaTheme="minorHAnsi"/>
          <w:bCs/>
          <w:sz w:val="26"/>
          <w:szCs w:val="26"/>
        </w:rPr>
        <w:t xml:space="preserve">As the </w:t>
      </w:r>
      <w:r w:rsidR="008F1816" w:rsidRPr="00E951F4">
        <w:rPr>
          <w:rFonts w:eastAsiaTheme="minorHAnsi"/>
          <w:bCs/>
          <w:sz w:val="26"/>
          <w:szCs w:val="26"/>
        </w:rPr>
        <w:t>P</w:t>
      </w:r>
      <w:r w:rsidRPr="00E951F4">
        <w:rPr>
          <w:rFonts w:eastAsiaTheme="minorHAnsi"/>
          <w:bCs/>
          <w:sz w:val="26"/>
          <w:szCs w:val="26"/>
        </w:rPr>
        <w:t>art</w:t>
      </w:r>
      <w:r w:rsidR="003F0484" w:rsidRPr="00E951F4">
        <w:rPr>
          <w:rFonts w:eastAsiaTheme="minorHAnsi"/>
          <w:bCs/>
          <w:sz w:val="26"/>
          <w:szCs w:val="26"/>
        </w:rPr>
        <w:t>ies</w:t>
      </w:r>
      <w:r w:rsidRPr="00E951F4">
        <w:rPr>
          <w:rFonts w:eastAsiaTheme="minorHAnsi"/>
          <w:bCs/>
          <w:sz w:val="26"/>
          <w:szCs w:val="26"/>
        </w:rPr>
        <w:t xml:space="preserve"> proposing that Duquesne Light include NITS charges in its existing NBT, the EGS Parties</w:t>
      </w:r>
      <w:r w:rsidRPr="00E951F4">
        <w:rPr>
          <w:rFonts w:eastAsiaTheme="minorHAnsi"/>
          <w:sz w:val="26"/>
          <w:szCs w:val="26"/>
        </w:rPr>
        <w:t xml:space="preserve"> bear the burden of proof for this proposal.  </w:t>
      </w:r>
      <w:r w:rsidRPr="00E951F4">
        <w:rPr>
          <w:rFonts w:eastAsiaTheme="minorHAnsi"/>
          <w:i/>
          <w:sz w:val="26"/>
          <w:szCs w:val="26"/>
        </w:rPr>
        <w:t>Metropolitan Edison Co.</w:t>
      </w:r>
      <w:r w:rsidRPr="00E951F4">
        <w:rPr>
          <w:rFonts w:eastAsiaTheme="minorHAnsi"/>
          <w:iCs/>
          <w:sz w:val="26"/>
          <w:szCs w:val="26"/>
        </w:rPr>
        <w:t xml:space="preserve">; </w:t>
      </w:r>
      <w:r w:rsidRPr="00E951F4">
        <w:rPr>
          <w:rFonts w:eastAsiaTheme="minorHAnsi"/>
          <w:i/>
          <w:sz w:val="26"/>
          <w:szCs w:val="26"/>
        </w:rPr>
        <w:t>Citizens’ Electric Co</w:t>
      </w:r>
      <w:r w:rsidRPr="00E951F4">
        <w:rPr>
          <w:rFonts w:eastAsiaTheme="minorHAnsi"/>
          <w:iCs/>
          <w:sz w:val="26"/>
          <w:szCs w:val="26"/>
        </w:rPr>
        <w:t>.</w:t>
      </w:r>
      <w:r w:rsidRPr="00E951F4">
        <w:rPr>
          <w:rFonts w:eastAsiaTheme="minorHAnsi"/>
          <w:sz w:val="26"/>
          <w:szCs w:val="26"/>
        </w:rPr>
        <w:t xml:space="preserve">  In reaching his conclusion on the EGS Parties’ proposal, ALJ Hoyer correctly determined, based on the evidence in this proceeding</w:t>
      </w:r>
      <w:r w:rsidR="00AA77B1" w:rsidRPr="00E951F4">
        <w:rPr>
          <w:rFonts w:eastAsiaTheme="minorHAnsi"/>
          <w:sz w:val="26"/>
          <w:szCs w:val="26"/>
        </w:rPr>
        <w:t xml:space="preserve"> that</w:t>
      </w:r>
      <w:r w:rsidRPr="00E951F4">
        <w:rPr>
          <w:rFonts w:eastAsiaTheme="minorHAnsi"/>
          <w:sz w:val="26"/>
          <w:szCs w:val="26"/>
        </w:rPr>
        <w:t xml:space="preserve">: (1) it is appropriate for Duquesne Light to recover NITS costs only from default service customers; (2) </w:t>
      </w:r>
      <w:r w:rsidR="003F0484" w:rsidRPr="00E951F4">
        <w:rPr>
          <w:rFonts w:eastAsiaTheme="minorHAnsi"/>
          <w:sz w:val="26"/>
          <w:szCs w:val="26"/>
        </w:rPr>
        <w:t xml:space="preserve">the </w:t>
      </w:r>
      <w:r w:rsidRPr="00E951F4">
        <w:rPr>
          <w:rFonts w:eastAsiaTheme="minorHAnsi"/>
          <w:sz w:val="26"/>
          <w:szCs w:val="26"/>
        </w:rPr>
        <w:t xml:space="preserve">EGSs should recover </w:t>
      </w:r>
      <w:r w:rsidRPr="00E951F4">
        <w:rPr>
          <w:rFonts w:eastAsiaTheme="minorHAnsi"/>
          <w:sz w:val="26"/>
          <w:szCs w:val="26"/>
        </w:rPr>
        <w:lastRenderedPageBreak/>
        <w:t xml:space="preserve">these costs from their customers; and (3) the EGS Parties did not satisfy their burden of proof that the Company’s current cost recovery method should be altered.  R.D. at 36, 51.  </w:t>
      </w:r>
    </w:p>
    <w:p w14:paraId="5EF41005" w14:textId="77777777" w:rsidR="00132B35" w:rsidRPr="00E951F4" w:rsidRDefault="00132B35" w:rsidP="00E951F4">
      <w:pPr>
        <w:widowControl/>
        <w:spacing w:after="200" w:line="360" w:lineRule="auto"/>
        <w:contextualSpacing/>
        <w:rPr>
          <w:rFonts w:eastAsiaTheme="minorHAnsi"/>
          <w:sz w:val="26"/>
          <w:szCs w:val="26"/>
        </w:rPr>
      </w:pPr>
    </w:p>
    <w:p w14:paraId="541781A2" w14:textId="5419802C" w:rsidR="00132B35" w:rsidRPr="00E951F4" w:rsidRDefault="00132B35" w:rsidP="00E951F4">
      <w:pPr>
        <w:widowControl/>
        <w:spacing w:after="200" w:line="360" w:lineRule="auto"/>
        <w:ind w:firstLine="1440"/>
        <w:contextualSpacing/>
        <w:rPr>
          <w:rFonts w:eastAsiaTheme="minorHAnsi"/>
          <w:sz w:val="26"/>
          <w:szCs w:val="26"/>
        </w:rPr>
      </w:pPr>
      <w:r w:rsidRPr="00E951F4">
        <w:rPr>
          <w:rFonts w:eastAsiaTheme="minorHAnsi"/>
          <w:sz w:val="26"/>
          <w:szCs w:val="26"/>
        </w:rPr>
        <w:t xml:space="preserve">As Duquesne Light and Calpine both noted, in </w:t>
      </w:r>
      <w:r w:rsidRPr="00E951F4">
        <w:rPr>
          <w:rFonts w:eastAsiaTheme="minorHAnsi"/>
          <w:i/>
          <w:iCs/>
          <w:sz w:val="26"/>
          <w:szCs w:val="26"/>
        </w:rPr>
        <w:t>Duquesne Light DSP VI</w:t>
      </w:r>
      <w:r w:rsidRPr="00E951F4">
        <w:rPr>
          <w:rFonts w:eastAsiaTheme="minorHAnsi"/>
          <w:sz w:val="26"/>
          <w:szCs w:val="26"/>
        </w:rPr>
        <w:t xml:space="preserve"> and </w:t>
      </w:r>
      <w:r w:rsidRPr="00E951F4">
        <w:rPr>
          <w:rFonts w:eastAsiaTheme="minorHAnsi"/>
          <w:i/>
          <w:iCs/>
          <w:sz w:val="26"/>
          <w:szCs w:val="26"/>
        </w:rPr>
        <w:t>Duquesne Light DSP VII</w:t>
      </w:r>
      <w:r w:rsidRPr="00E951F4">
        <w:rPr>
          <w:rFonts w:eastAsiaTheme="minorHAnsi"/>
          <w:sz w:val="26"/>
          <w:szCs w:val="26"/>
        </w:rPr>
        <w:t xml:space="preserve">, we considered and rejected proposals similar to what the EGS Parties have proffered in this proceeding.  Moreover, we have considered and rejected similar proposals in DSP proceedings involving other Pennsylvania EDCs.  For example, in our recent </w:t>
      </w:r>
      <w:r w:rsidR="00AA77B1" w:rsidRPr="00E951F4">
        <w:rPr>
          <w:rFonts w:eastAsiaTheme="minorHAnsi"/>
          <w:sz w:val="26"/>
          <w:szCs w:val="26"/>
        </w:rPr>
        <w:t>O</w:t>
      </w:r>
      <w:r w:rsidRPr="00E951F4">
        <w:rPr>
          <w:rFonts w:eastAsiaTheme="minorHAnsi"/>
          <w:sz w:val="26"/>
          <w:szCs w:val="26"/>
        </w:rPr>
        <w:t xml:space="preserve">rder in </w:t>
      </w:r>
      <w:r w:rsidRPr="00E951F4">
        <w:rPr>
          <w:rFonts w:eastAsiaTheme="minorHAnsi"/>
          <w:i/>
          <w:iCs/>
          <w:sz w:val="26"/>
          <w:szCs w:val="26"/>
        </w:rPr>
        <w:t>Petition of PECO Energy Company for Approval of its Default Service Program for the Period from June 1, 2021 through May 31, 2025</w:t>
      </w:r>
      <w:r w:rsidRPr="00E951F4">
        <w:rPr>
          <w:rFonts w:eastAsiaTheme="minorHAnsi"/>
          <w:sz w:val="26"/>
          <w:szCs w:val="26"/>
        </w:rPr>
        <w:t>, Docket No. P</w:t>
      </w:r>
      <w:r w:rsidRPr="00E951F4">
        <w:rPr>
          <w:rFonts w:eastAsiaTheme="minorHAnsi"/>
          <w:sz w:val="26"/>
          <w:szCs w:val="26"/>
        </w:rPr>
        <w:noBreakHyphen/>
        <w:t>2020</w:t>
      </w:r>
      <w:r w:rsidRPr="00E951F4">
        <w:rPr>
          <w:rFonts w:eastAsiaTheme="minorHAnsi"/>
          <w:sz w:val="26"/>
          <w:szCs w:val="26"/>
        </w:rPr>
        <w:noBreakHyphen/>
        <w:t>3019290 (Order entered December 3, 2020) (</w:t>
      </w:r>
      <w:r w:rsidRPr="00E951F4">
        <w:rPr>
          <w:rFonts w:eastAsiaTheme="minorHAnsi"/>
          <w:i/>
          <w:iCs/>
          <w:sz w:val="26"/>
          <w:szCs w:val="26"/>
        </w:rPr>
        <w:t>PECO DSP V Order</w:t>
      </w:r>
      <w:r w:rsidRPr="00E951F4">
        <w:rPr>
          <w:rFonts w:eastAsiaTheme="minorHAnsi"/>
          <w:sz w:val="26"/>
          <w:szCs w:val="26"/>
        </w:rPr>
        <w:t xml:space="preserve">), we reaffirmed this precedent in rejecting a nearly identical proposal set forth by the same group of EGSs that comprise the EGS Parties in the instant case.  </w:t>
      </w:r>
      <w:r w:rsidRPr="00E951F4">
        <w:rPr>
          <w:rFonts w:eastAsiaTheme="minorHAnsi"/>
          <w:i/>
          <w:iCs/>
          <w:sz w:val="26"/>
          <w:szCs w:val="26"/>
        </w:rPr>
        <w:t xml:space="preserve">PECO DSP V Order </w:t>
      </w:r>
      <w:r w:rsidRPr="00E951F4">
        <w:rPr>
          <w:rFonts w:eastAsiaTheme="minorHAnsi"/>
          <w:sz w:val="26"/>
          <w:szCs w:val="26"/>
        </w:rPr>
        <w:t>at</w:t>
      </w:r>
      <w:r w:rsidR="001A278C">
        <w:rPr>
          <w:rFonts w:eastAsiaTheme="minorHAnsi"/>
          <w:sz w:val="26"/>
          <w:szCs w:val="26"/>
        </w:rPr>
        <w:t> </w:t>
      </w:r>
      <w:r w:rsidRPr="00E951F4">
        <w:rPr>
          <w:rFonts w:eastAsiaTheme="minorHAnsi"/>
          <w:sz w:val="26"/>
          <w:szCs w:val="26"/>
        </w:rPr>
        <w:t xml:space="preserve">51-53, 58-60.  We find that the EGS Parties have not set forth any arguments or evidence in this proceeding that would cause us to deviate from </w:t>
      </w:r>
      <w:r w:rsidR="00B12EA0" w:rsidRPr="00E951F4">
        <w:rPr>
          <w:rFonts w:eastAsiaTheme="minorHAnsi"/>
          <w:sz w:val="26"/>
          <w:szCs w:val="26"/>
        </w:rPr>
        <w:t>our prior decisions in which</w:t>
      </w:r>
      <w:r w:rsidRPr="00E951F4">
        <w:rPr>
          <w:rFonts w:eastAsiaTheme="minorHAnsi"/>
          <w:sz w:val="26"/>
          <w:szCs w:val="26"/>
        </w:rPr>
        <w:t xml:space="preserve"> we have established </w:t>
      </w:r>
      <w:r w:rsidR="00B12EA0" w:rsidRPr="00E951F4">
        <w:rPr>
          <w:rFonts w:eastAsiaTheme="minorHAnsi"/>
          <w:sz w:val="26"/>
          <w:szCs w:val="26"/>
        </w:rPr>
        <w:t>that</w:t>
      </w:r>
      <w:r w:rsidRPr="00E951F4">
        <w:rPr>
          <w:rFonts w:eastAsiaTheme="minorHAnsi"/>
          <w:sz w:val="26"/>
          <w:szCs w:val="26"/>
        </w:rPr>
        <w:t xml:space="preserve"> an EDC collects NITS only from its default service customers.  </w:t>
      </w:r>
    </w:p>
    <w:p w14:paraId="24D4FA52" w14:textId="77777777" w:rsidR="00132B35" w:rsidRPr="00E951F4" w:rsidRDefault="00132B35" w:rsidP="00E951F4">
      <w:pPr>
        <w:widowControl/>
        <w:spacing w:after="200" w:line="360" w:lineRule="auto"/>
        <w:ind w:firstLine="1440"/>
        <w:contextualSpacing/>
        <w:rPr>
          <w:rFonts w:eastAsiaTheme="minorHAnsi"/>
          <w:sz w:val="26"/>
          <w:szCs w:val="26"/>
        </w:rPr>
      </w:pPr>
    </w:p>
    <w:p w14:paraId="1993E6CC" w14:textId="133E83B5" w:rsidR="00132B35" w:rsidRPr="00E951F4" w:rsidRDefault="00132B35" w:rsidP="00E951F4">
      <w:pPr>
        <w:widowControl/>
        <w:spacing w:after="200" w:line="360" w:lineRule="auto"/>
        <w:ind w:firstLine="1440"/>
        <w:contextualSpacing/>
        <w:rPr>
          <w:rFonts w:eastAsiaTheme="minorHAnsi"/>
          <w:sz w:val="26"/>
          <w:szCs w:val="26"/>
        </w:rPr>
      </w:pPr>
      <w:r w:rsidRPr="00E951F4">
        <w:rPr>
          <w:rFonts w:eastAsiaTheme="minorHAnsi"/>
          <w:sz w:val="26"/>
          <w:szCs w:val="26"/>
        </w:rPr>
        <w:t xml:space="preserve">The crux of the EGS Parties’ argument in this proceeding is that Duquesne Light should be directed to recover NITS </w:t>
      </w:r>
      <w:r w:rsidR="0093632E" w:rsidRPr="00E951F4">
        <w:rPr>
          <w:rFonts w:eastAsiaTheme="minorHAnsi"/>
          <w:sz w:val="26"/>
          <w:szCs w:val="26"/>
        </w:rPr>
        <w:t>c</w:t>
      </w:r>
      <w:r w:rsidRPr="00E951F4">
        <w:rPr>
          <w:rFonts w:eastAsiaTheme="minorHAnsi"/>
          <w:sz w:val="26"/>
          <w:szCs w:val="26"/>
        </w:rPr>
        <w:t xml:space="preserve">harges via an NBT charge because its current practice is discriminatory and causes undue harm to shopping customers and their EGSs.  We find no merit in this argument.  Rather, in its Reply Briefs, Duquesne Light noted that the Company is not discriminating based upon any service it is providing as an EDC under the Code.  Instead, the Company is charging its default service customers for costs it incurs to obtain interstate transmission service.  The Company argued that it has no obligation under the Code to charge shopping customers for costs incurred by an EGS to provide service, particularly those that are subject to FERC’s jurisdiction.  Duquesne Light R.B. at 4-5.  We agree.  </w:t>
      </w:r>
    </w:p>
    <w:p w14:paraId="5A09CCC4" w14:textId="77777777" w:rsidR="00132B35" w:rsidRPr="00E951F4" w:rsidRDefault="00132B35" w:rsidP="00E951F4">
      <w:pPr>
        <w:widowControl/>
        <w:spacing w:after="200" w:line="360" w:lineRule="auto"/>
        <w:ind w:firstLine="1440"/>
        <w:contextualSpacing/>
        <w:rPr>
          <w:rFonts w:eastAsiaTheme="minorHAnsi"/>
          <w:sz w:val="26"/>
          <w:szCs w:val="26"/>
        </w:rPr>
      </w:pPr>
    </w:p>
    <w:p w14:paraId="45015EEF" w14:textId="4E6B8EDA" w:rsidR="00132B35" w:rsidRPr="00E951F4" w:rsidRDefault="00132B35" w:rsidP="00E951F4">
      <w:pPr>
        <w:widowControl/>
        <w:spacing w:after="200" w:line="360" w:lineRule="auto"/>
        <w:ind w:firstLine="1440"/>
        <w:contextualSpacing/>
        <w:rPr>
          <w:rFonts w:eastAsiaTheme="minorHAnsi"/>
          <w:sz w:val="26"/>
          <w:szCs w:val="26"/>
        </w:rPr>
      </w:pPr>
      <w:r w:rsidRPr="00E951F4">
        <w:rPr>
          <w:rFonts w:eastAsiaTheme="minorHAnsi"/>
          <w:sz w:val="26"/>
          <w:szCs w:val="26"/>
        </w:rPr>
        <w:lastRenderedPageBreak/>
        <w:t xml:space="preserve">Additionally, as Calpine pointed out in its Replies to the EGS Parties’ Exception No. 2, Duquesne Light’s Default Service and the products and services offered by </w:t>
      </w:r>
      <w:r w:rsidR="00B46129" w:rsidRPr="00E951F4">
        <w:rPr>
          <w:rFonts w:eastAsiaTheme="minorHAnsi"/>
          <w:sz w:val="26"/>
          <w:szCs w:val="26"/>
        </w:rPr>
        <w:t xml:space="preserve">the </w:t>
      </w:r>
      <w:r w:rsidRPr="00E951F4">
        <w:rPr>
          <w:rFonts w:eastAsiaTheme="minorHAnsi"/>
          <w:sz w:val="26"/>
          <w:szCs w:val="26"/>
        </w:rPr>
        <w:t xml:space="preserve">EGSs in an open retail market possess inherently different characteristics.  Therefore, comparing retail electric market products and services to a fully regulated default service is an “apples to oranges comparison.”  We find that Calpine has proffered testimony that is particularly convincing on this point.  The record indicates that NITS charges are demand based, which creates an opportunity for </w:t>
      </w:r>
      <w:r w:rsidR="00B46129" w:rsidRPr="00E951F4">
        <w:rPr>
          <w:rFonts w:eastAsiaTheme="minorHAnsi"/>
          <w:sz w:val="26"/>
          <w:szCs w:val="26"/>
        </w:rPr>
        <w:t xml:space="preserve">the </w:t>
      </w:r>
      <w:r w:rsidRPr="00E951F4">
        <w:rPr>
          <w:rFonts w:eastAsiaTheme="minorHAnsi"/>
          <w:sz w:val="26"/>
          <w:szCs w:val="26"/>
        </w:rPr>
        <w:t xml:space="preserve">EGSs in the marketplace.  Not every customer has the same load profile, nor does every LSE.  Therefore, </w:t>
      </w:r>
      <w:r w:rsidR="00B46129" w:rsidRPr="00E951F4">
        <w:rPr>
          <w:rFonts w:eastAsiaTheme="minorHAnsi"/>
          <w:sz w:val="26"/>
          <w:szCs w:val="26"/>
        </w:rPr>
        <w:t xml:space="preserve">the </w:t>
      </w:r>
      <w:r w:rsidRPr="00E951F4">
        <w:rPr>
          <w:rFonts w:eastAsiaTheme="minorHAnsi"/>
          <w:sz w:val="26"/>
          <w:szCs w:val="26"/>
        </w:rPr>
        <w:t xml:space="preserve">LSEs in the competitive market, in contrast to a utility that offers a simplified one-size-fits-all default service, can work with customers to adjust their usage to more efficiently use only the amount of transmission to meet the individual needs of the customer.  As Calpine points out, Calpine, like the companies that make up the EGS Parties, is an EGS that incurs NITS costs.  However, Calpine has been able to successfully manage these costs by managing its customers’ loads.  </w:t>
      </w:r>
      <w:r w:rsidRPr="00E951F4">
        <w:rPr>
          <w:rFonts w:eastAsiaTheme="minorHAnsi"/>
          <w:i/>
          <w:iCs/>
          <w:sz w:val="26"/>
          <w:szCs w:val="26"/>
        </w:rPr>
        <w:t xml:space="preserve">See </w:t>
      </w:r>
      <w:r w:rsidRPr="00E951F4">
        <w:rPr>
          <w:rFonts w:eastAsiaTheme="minorHAnsi"/>
          <w:sz w:val="26"/>
          <w:szCs w:val="26"/>
        </w:rPr>
        <w:t>Calpine St. 1 at 3-4; Calpine M.B. at 3.</w:t>
      </w:r>
    </w:p>
    <w:p w14:paraId="60A3C798" w14:textId="77777777" w:rsidR="00132B35" w:rsidRPr="00E951F4" w:rsidRDefault="00132B35" w:rsidP="00E951F4">
      <w:pPr>
        <w:widowControl/>
        <w:spacing w:after="200" w:line="360" w:lineRule="auto"/>
        <w:ind w:firstLine="1440"/>
        <w:contextualSpacing/>
        <w:rPr>
          <w:rFonts w:eastAsiaTheme="minorHAnsi"/>
          <w:sz w:val="26"/>
          <w:szCs w:val="26"/>
        </w:rPr>
      </w:pPr>
    </w:p>
    <w:p w14:paraId="062D0B15" w14:textId="0F25EE32" w:rsidR="00132B35" w:rsidRPr="00E951F4" w:rsidRDefault="00132B35" w:rsidP="00E951F4">
      <w:pPr>
        <w:widowControl/>
        <w:spacing w:after="200" w:line="360" w:lineRule="auto"/>
        <w:ind w:firstLine="1440"/>
        <w:contextualSpacing/>
        <w:rPr>
          <w:rFonts w:eastAsiaTheme="minorHAnsi"/>
          <w:sz w:val="26"/>
          <w:szCs w:val="26"/>
        </w:rPr>
      </w:pPr>
      <w:r w:rsidRPr="00E951F4">
        <w:rPr>
          <w:rFonts w:eastAsiaTheme="minorHAnsi"/>
          <w:sz w:val="26"/>
          <w:szCs w:val="26"/>
        </w:rPr>
        <w:t xml:space="preserve">The record also indicates that there is robust competition among </w:t>
      </w:r>
      <w:r w:rsidR="00CF17C4" w:rsidRPr="00E951F4">
        <w:rPr>
          <w:rFonts w:eastAsiaTheme="minorHAnsi"/>
          <w:sz w:val="26"/>
          <w:szCs w:val="26"/>
        </w:rPr>
        <w:t xml:space="preserve">the </w:t>
      </w:r>
      <w:r w:rsidRPr="00E951F4">
        <w:rPr>
          <w:rFonts w:eastAsiaTheme="minorHAnsi"/>
          <w:sz w:val="26"/>
          <w:szCs w:val="26"/>
        </w:rPr>
        <w:t xml:space="preserve">EGSs in Duquesne Light’s service territory, which puts downward pressure on the risk premium associated with NITS charges.  Namely, this risk is shifted away from the ratepayer onto the market, and the price is reflective of the competitive efficiencies and the discipline of the market, to the benefit of Pennsylvania customers.  Therefore, we concur with Calpine’s position that requiring all shopping and non-shopping customers to have their NITS costs collected through an NBT, as the EGS Parties envision, would simultaneously limit existing and potential customers’ product and service choices.  As a result, this would not only harm the competitive retail market, but it would also remove any incentive and opportunity to create customized products and services that are, or potentially might be formulated, to assist </w:t>
      </w:r>
      <w:r w:rsidR="00CF17C4" w:rsidRPr="00E951F4">
        <w:rPr>
          <w:rFonts w:eastAsiaTheme="minorHAnsi"/>
          <w:sz w:val="26"/>
          <w:szCs w:val="26"/>
        </w:rPr>
        <w:t xml:space="preserve">the </w:t>
      </w:r>
      <w:r w:rsidRPr="00E951F4">
        <w:rPr>
          <w:rFonts w:eastAsiaTheme="minorHAnsi"/>
          <w:sz w:val="26"/>
          <w:szCs w:val="26"/>
        </w:rPr>
        <w:t xml:space="preserve">EGSs in addressing these specific costs.  </w:t>
      </w:r>
      <w:r w:rsidRPr="00E951F4">
        <w:rPr>
          <w:rFonts w:eastAsiaTheme="minorHAnsi"/>
          <w:i/>
          <w:iCs/>
          <w:sz w:val="26"/>
          <w:szCs w:val="26"/>
        </w:rPr>
        <w:t xml:space="preserve">See </w:t>
      </w:r>
      <w:r w:rsidRPr="00E951F4">
        <w:rPr>
          <w:rFonts w:eastAsiaTheme="minorHAnsi"/>
          <w:sz w:val="26"/>
          <w:szCs w:val="26"/>
        </w:rPr>
        <w:t xml:space="preserve">Calpine St. 1 at 3-4. </w:t>
      </w:r>
    </w:p>
    <w:p w14:paraId="090ED795" w14:textId="77777777" w:rsidR="00132B35" w:rsidRPr="00E951F4" w:rsidRDefault="00132B35" w:rsidP="00E951F4">
      <w:pPr>
        <w:widowControl/>
        <w:spacing w:after="200" w:line="360" w:lineRule="auto"/>
        <w:ind w:firstLine="1440"/>
        <w:contextualSpacing/>
        <w:rPr>
          <w:rFonts w:eastAsiaTheme="minorHAnsi"/>
          <w:sz w:val="26"/>
          <w:szCs w:val="26"/>
        </w:rPr>
      </w:pPr>
    </w:p>
    <w:p w14:paraId="19713663" w14:textId="5775FC4F" w:rsidR="00132B35" w:rsidRPr="00E951F4" w:rsidRDefault="00132B35" w:rsidP="00E951F4">
      <w:pPr>
        <w:widowControl/>
        <w:spacing w:after="200" w:line="360" w:lineRule="auto"/>
        <w:ind w:firstLine="1440"/>
        <w:contextualSpacing/>
        <w:rPr>
          <w:rFonts w:eastAsiaTheme="minorHAnsi"/>
          <w:sz w:val="26"/>
          <w:szCs w:val="26"/>
          <w:lang w:val="en"/>
        </w:rPr>
      </w:pPr>
      <w:r w:rsidRPr="00E951F4">
        <w:rPr>
          <w:rFonts w:eastAsiaTheme="minorHAnsi"/>
          <w:sz w:val="26"/>
          <w:szCs w:val="26"/>
        </w:rPr>
        <w:lastRenderedPageBreak/>
        <w:t xml:space="preserve">Further, we find the EGS Parties’ citation to </w:t>
      </w:r>
      <w:r w:rsidRPr="00E951F4">
        <w:rPr>
          <w:rFonts w:eastAsiaTheme="minorHAnsi"/>
          <w:i/>
          <w:iCs/>
          <w:sz w:val="26"/>
          <w:szCs w:val="26"/>
        </w:rPr>
        <w:t xml:space="preserve">Columbia </w:t>
      </w:r>
      <w:r w:rsidRPr="00E951F4">
        <w:rPr>
          <w:rFonts w:eastAsiaTheme="minorHAnsi"/>
          <w:sz w:val="26"/>
          <w:szCs w:val="26"/>
        </w:rPr>
        <w:t xml:space="preserve">in support of its discrimination arguments to be </w:t>
      </w:r>
      <w:r w:rsidR="001C3558" w:rsidRPr="00E951F4">
        <w:rPr>
          <w:rFonts w:eastAsiaTheme="minorHAnsi"/>
          <w:sz w:val="26"/>
          <w:szCs w:val="26"/>
        </w:rPr>
        <w:t>flawed</w:t>
      </w:r>
      <w:r w:rsidRPr="00E951F4">
        <w:rPr>
          <w:rFonts w:eastAsiaTheme="minorHAnsi"/>
          <w:sz w:val="26"/>
          <w:szCs w:val="26"/>
        </w:rPr>
        <w:t xml:space="preserve">.  In </w:t>
      </w:r>
      <w:r w:rsidRPr="00E951F4">
        <w:rPr>
          <w:rFonts w:eastAsiaTheme="minorHAnsi"/>
          <w:i/>
          <w:iCs/>
          <w:sz w:val="26"/>
          <w:szCs w:val="26"/>
        </w:rPr>
        <w:t xml:space="preserve">Columbia, </w:t>
      </w:r>
      <w:r w:rsidRPr="00E951F4">
        <w:rPr>
          <w:rFonts w:eastAsiaTheme="minorHAnsi"/>
          <w:sz w:val="26"/>
          <w:szCs w:val="26"/>
        </w:rPr>
        <w:t>we addressed Columbia</w:t>
      </w:r>
      <w:r w:rsidR="002D6A78" w:rsidRPr="00E951F4">
        <w:rPr>
          <w:rFonts w:eastAsiaTheme="minorHAnsi"/>
          <w:sz w:val="26"/>
          <w:szCs w:val="26"/>
        </w:rPr>
        <w:t xml:space="preserve"> Gas of Pennsylvania Inc</w:t>
      </w:r>
      <w:r w:rsidR="00F807D6" w:rsidRPr="00E951F4">
        <w:rPr>
          <w:rFonts w:eastAsiaTheme="minorHAnsi"/>
          <w:sz w:val="26"/>
          <w:szCs w:val="26"/>
        </w:rPr>
        <w:t>.</w:t>
      </w:r>
      <w:r w:rsidRPr="00E951F4">
        <w:rPr>
          <w:rFonts w:eastAsiaTheme="minorHAnsi"/>
          <w:sz w:val="26"/>
          <w:szCs w:val="26"/>
        </w:rPr>
        <w:t>’s</w:t>
      </w:r>
      <w:r w:rsidR="00AD6838" w:rsidRPr="00E951F4">
        <w:rPr>
          <w:rFonts w:eastAsiaTheme="minorHAnsi"/>
          <w:sz w:val="26"/>
          <w:szCs w:val="26"/>
        </w:rPr>
        <w:t xml:space="preserve"> (Columbia)</w:t>
      </w:r>
      <w:r w:rsidRPr="00E951F4">
        <w:rPr>
          <w:rFonts w:eastAsiaTheme="minorHAnsi"/>
          <w:sz w:val="26"/>
          <w:szCs w:val="26"/>
        </w:rPr>
        <w:t xml:space="preserve"> billing practice of providing “on bill” billing to certain parties for the non</w:t>
      </w:r>
      <w:r w:rsidRPr="00E951F4">
        <w:rPr>
          <w:rFonts w:eastAsiaTheme="minorHAnsi"/>
          <w:sz w:val="26"/>
          <w:szCs w:val="26"/>
        </w:rPr>
        <w:noBreakHyphen/>
        <w:t xml:space="preserve">commodity goods and services offered by third parties, while simultaneously declining to provide this same “on bill” billing service to other parties.  </w:t>
      </w:r>
      <w:r w:rsidRPr="00E951F4">
        <w:rPr>
          <w:rFonts w:eastAsiaTheme="minorHAnsi"/>
          <w:i/>
          <w:iCs/>
          <w:sz w:val="26"/>
          <w:szCs w:val="26"/>
        </w:rPr>
        <w:t xml:space="preserve">See Columbia </w:t>
      </w:r>
      <w:r w:rsidRPr="00E951F4">
        <w:rPr>
          <w:rFonts w:eastAsiaTheme="minorHAnsi"/>
          <w:sz w:val="26"/>
          <w:szCs w:val="26"/>
        </w:rPr>
        <w:t>at 34-51.  We concluded that “</w:t>
      </w:r>
      <w:r w:rsidRPr="00E951F4">
        <w:rPr>
          <w:rFonts w:eastAsiaTheme="minorHAnsi"/>
          <w:sz w:val="26"/>
          <w:szCs w:val="26"/>
          <w:lang w:val="en"/>
        </w:rPr>
        <w:t xml:space="preserve">the billing practice at issue discriminates </w:t>
      </w:r>
      <w:r w:rsidRPr="00E951F4">
        <w:rPr>
          <w:rFonts w:eastAsiaTheme="minorHAnsi"/>
          <w:i/>
          <w:iCs/>
          <w:sz w:val="26"/>
          <w:szCs w:val="26"/>
          <w:lang w:val="en"/>
        </w:rPr>
        <w:t>by preferential treatment of the third parties</w:t>
      </w:r>
      <w:r w:rsidRPr="00E951F4">
        <w:rPr>
          <w:rFonts w:eastAsiaTheme="minorHAnsi"/>
          <w:sz w:val="26"/>
          <w:szCs w:val="26"/>
          <w:lang w:val="en"/>
        </w:rPr>
        <w:t xml:space="preserve">, Columbia’s former affiliates, when Columbia affords the option of “on bill” billing for goods and services offered by former affiliated third parties but denies the same billing option to the NGS Parties.”  </w:t>
      </w:r>
      <w:r w:rsidRPr="00E951F4">
        <w:rPr>
          <w:rFonts w:eastAsiaTheme="minorHAnsi"/>
          <w:i/>
          <w:iCs/>
          <w:sz w:val="26"/>
          <w:szCs w:val="26"/>
          <w:lang w:val="en"/>
        </w:rPr>
        <w:t xml:space="preserve">Columbia </w:t>
      </w:r>
      <w:r w:rsidRPr="00E951F4">
        <w:rPr>
          <w:rFonts w:eastAsiaTheme="minorHAnsi"/>
          <w:sz w:val="26"/>
          <w:szCs w:val="26"/>
          <w:lang w:val="en"/>
        </w:rPr>
        <w:t xml:space="preserve">at 46 (emphasis added).  On the other hand, in the instant proceeding, we have determined that Duquesne Light is not discriminating among </w:t>
      </w:r>
      <w:r w:rsidR="00CF17C4" w:rsidRPr="00E951F4">
        <w:rPr>
          <w:rFonts w:eastAsiaTheme="minorHAnsi"/>
          <w:sz w:val="26"/>
          <w:szCs w:val="26"/>
          <w:lang w:val="en"/>
        </w:rPr>
        <w:t xml:space="preserve">the </w:t>
      </w:r>
      <w:r w:rsidRPr="00E951F4">
        <w:rPr>
          <w:rFonts w:eastAsiaTheme="minorHAnsi"/>
          <w:sz w:val="26"/>
          <w:szCs w:val="26"/>
          <w:lang w:val="en"/>
        </w:rPr>
        <w:t xml:space="preserve">EGSs in how it bills NITS charges.  Rather, as Calpine pointed out, there is a clear distinction between </w:t>
      </w:r>
      <w:r w:rsidRPr="00E951F4">
        <w:rPr>
          <w:rFonts w:eastAsiaTheme="minorHAnsi"/>
          <w:sz w:val="26"/>
          <w:szCs w:val="26"/>
        </w:rPr>
        <w:t>default service and service from an EGS</w:t>
      </w:r>
      <w:r w:rsidRPr="00E951F4">
        <w:rPr>
          <w:rFonts w:eastAsiaTheme="minorHAnsi"/>
          <w:sz w:val="26"/>
          <w:szCs w:val="26"/>
          <w:lang w:val="en"/>
        </w:rPr>
        <w:t xml:space="preserve">.  Moreover, </w:t>
      </w:r>
      <w:r w:rsidRPr="00E951F4">
        <w:rPr>
          <w:rFonts w:eastAsiaTheme="minorHAnsi"/>
          <w:i/>
          <w:iCs/>
          <w:sz w:val="26"/>
          <w:szCs w:val="26"/>
          <w:lang w:val="en"/>
        </w:rPr>
        <w:t xml:space="preserve">Columbia </w:t>
      </w:r>
      <w:r w:rsidRPr="00E951F4">
        <w:rPr>
          <w:rFonts w:eastAsiaTheme="minorHAnsi"/>
          <w:sz w:val="26"/>
          <w:szCs w:val="26"/>
          <w:lang w:val="en"/>
        </w:rPr>
        <w:t xml:space="preserve">did not involve a proposal to create an NBT charge applicable to all customers.  </w:t>
      </w:r>
      <w:r w:rsidRPr="00E951F4">
        <w:rPr>
          <w:rFonts w:eastAsiaTheme="minorHAnsi"/>
          <w:i/>
          <w:iCs/>
          <w:sz w:val="26"/>
          <w:szCs w:val="26"/>
          <w:lang w:val="en"/>
        </w:rPr>
        <w:t xml:space="preserve">See </w:t>
      </w:r>
      <w:r w:rsidRPr="00E951F4">
        <w:rPr>
          <w:rFonts w:eastAsiaTheme="minorHAnsi"/>
          <w:sz w:val="26"/>
          <w:szCs w:val="26"/>
          <w:lang w:val="en"/>
        </w:rPr>
        <w:t>Duquesne Light R. Exc. at 11, n.11.</w:t>
      </w:r>
    </w:p>
    <w:p w14:paraId="274043D7" w14:textId="77777777" w:rsidR="00132B35" w:rsidRPr="00E951F4" w:rsidRDefault="00132B35" w:rsidP="00E951F4">
      <w:pPr>
        <w:widowControl/>
        <w:spacing w:after="200" w:line="360" w:lineRule="auto"/>
        <w:ind w:firstLine="1440"/>
        <w:contextualSpacing/>
        <w:rPr>
          <w:rFonts w:eastAsiaTheme="minorHAnsi"/>
          <w:sz w:val="26"/>
          <w:szCs w:val="26"/>
        </w:rPr>
      </w:pPr>
    </w:p>
    <w:p w14:paraId="67775AB5" w14:textId="324B1D83" w:rsidR="00132B35" w:rsidRPr="00E951F4" w:rsidRDefault="00132B35" w:rsidP="00E951F4">
      <w:pPr>
        <w:widowControl/>
        <w:spacing w:line="360" w:lineRule="auto"/>
        <w:ind w:firstLine="1440"/>
        <w:contextualSpacing/>
        <w:rPr>
          <w:rFonts w:eastAsiaTheme="minorHAnsi"/>
          <w:sz w:val="26"/>
          <w:szCs w:val="26"/>
        </w:rPr>
      </w:pPr>
      <w:r w:rsidRPr="00E951F4">
        <w:rPr>
          <w:rFonts w:eastAsiaTheme="minorHAnsi"/>
          <w:sz w:val="26"/>
          <w:szCs w:val="26"/>
        </w:rPr>
        <w:t>Consistent with the forgoing, we shall deny the EGS Parties Exception No.</w:t>
      </w:r>
      <w:r w:rsidR="001A278C">
        <w:rPr>
          <w:rFonts w:eastAsiaTheme="minorHAnsi"/>
          <w:sz w:val="26"/>
          <w:szCs w:val="26"/>
        </w:rPr>
        <w:t> </w:t>
      </w:r>
      <w:r w:rsidRPr="00E951F4">
        <w:rPr>
          <w:rFonts w:eastAsiaTheme="minorHAnsi"/>
          <w:sz w:val="26"/>
          <w:szCs w:val="26"/>
        </w:rPr>
        <w:t xml:space="preserve">2 and adopt the ALJ’s recommendation to deny the EGS Parties’ proposed allocation of NITS charges.  Accordingly, we shall approve Duquesne Light’s proposal to continue in its DSP IX its present allocation of NITS charges such that it will collect NITS charges only from its default service customers, while the EGSs operating in Duquesne Light’s service territory will continue to collect NITS charges from shopping customers.  </w:t>
      </w:r>
    </w:p>
    <w:p w14:paraId="66F50BA3" w14:textId="77777777" w:rsidR="00691B03" w:rsidRPr="00E951F4" w:rsidRDefault="00691B03" w:rsidP="00E951F4">
      <w:pPr>
        <w:widowControl/>
        <w:spacing w:line="360" w:lineRule="auto"/>
        <w:ind w:firstLine="1440"/>
        <w:contextualSpacing/>
        <w:rPr>
          <w:rFonts w:eastAsiaTheme="minorHAnsi"/>
          <w:sz w:val="26"/>
          <w:szCs w:val="26"/>
        </w:rPr>
      </w:pPr>
    </w:p>
    <w:p w14:paraId="24D9CE2D" w14:textId="7BFF1FE0" w:rsidR="008469F2" w:rsidRPr="00E951F4" w:rsidRDefault="00116181" w:rsidP="00E951F4">
      <w:pPr>
        <w:pStyle w:val="Heading2"/>
        <w:keepLines w:val="0"/>
        <w:spacing w:line="360" w:lineRule="auto"/>
      </w:pPr>
      <w:bookmarkStart w:id="78" w:name="_Toc59620143"/>
      <w:bookmarkStart w:id="79" w:name="_Toc60912039"/>
      <w:r w:rsidRPr="00E951F4">
        <w:t>B.</w:t>
      </w:r>
      <w:r w:rsidRPr="00E951F4">
        <w:tab/>
      </w:r>
      <w:r w:rsidR="00E43BE6" w:rsidRPr="00E951F4">
        <w:t>EV-TOU Pilot Program</w:t>
      </w:r>
      <w:bookmarkEnd w:id="78"/>
      <w:bookmarkEnd w:id="79"/>
    </w:p>
    <w:p w14:paraId="6486EBE9" w14:textId="77777777" w:rsidR="0098333A" w:rsidRPr="00E951F4" w:rsidRDefault="0098333A" w:rsidP="00E951F4">
      <w:pPr>
        <w:keepNext/>
        <w:widowControl/>
        <w:spacing w:line="360" w:lineRule="auto"/>
        <w:ind w:firstLine="720"/>
        <w:contextualSpacing/>
        <w:rPr>
          <w:sz w:val="26"/>
          <w:szCs w:val="26"/>
        </w:rPr>
      </w:pPr>
    </w:p>
    <w:p w14:paraId="68E3294B" w14:textId="2635806F" w:rsidR="008E441B" w:rsidRPr="00E951F4" w:rsidRDefault="00EB5245" w:rsidP="00E951F4">
      <w:pPr>
        <w:pStyle w:val="Heading3"/>
        <w:numPr>
          <w:ilvl w:val="0"/>
          <w:numId w:val="43"/>
        </w:numPr>
        <w:ind w:left="1440" w:hanging="720"/>
      </w:pPr>
      <w:bookmarkStart w:id="80" w:name="_Toc59620144"/>
      <w:bookmarkStart w:id="81" w:name="_Toc60912040"/>
      <w:r w:rsidRPr="00E951F4">
        <w:t>Positions of the Parties</w:t>
      </w:r>
      <w:bookmarkEnd w:id="80"/>
      <w:bookmarkEnd w:id="81"/>
      <w:r w:rsidRPr="00E951F4">
        <w:t xml:space="preserve"> </w:t>
      </w:r>
    </w:p>
    <w:p w14:paraId="49A48811" w14:textId="77777777" w:rsidR="00B25438" w:rsidRPr="00E951F4" w:rsidRDefault="00B25438" w:rsidP="00E951F4">
      <w:pPr>
        <w:keepNext/>
        <w:widowControl/>
        <w:kinsoku w:val="0"/>
        <w:overflowPunct w:val="0"/>
        <w:spacing w:line="360" w:lineRule="auto"/>
        <w:ind w:left="144" w:right="144" w:firstLine="1368"/>
        <w:textAlignment w:val="baseline"/>
        <w:rPr>
          <w:sz w:val="26"/>
          <w:szCs w:val="26"/>
        </w:rPr>
      </w:pPr>
    </w:p>
    <w:p w14:paraId="592E5B18" w14:textId="5A0ADE9A" w:rsidR="00BE1CDE" w:rsidRPr="00E951F4" w:rsidRDefault="00B25438" w:rsidP="00E951F4">
      <w:pPr>
        <w:keepNext/>
        <w:widowControl/>
        <w:kinsoku w:val="0"/>
        <w:overflowPunct w:val="0"/>
        <w:spacing w:line="360" w:lineRule="auto"/>
        <w:ind w:right="144" w:firstLine="1368"/>
        <w:textAlignment w:val="baseline"/>
        <w:rPr>
          <w:sz w:val="26"/>
          <w:szCs w:val="26"/>
        </w:rPr>
      </w:pPr>
      <w:r w:rsidRPr="00E951F4">
        <w:rPr>
          <w:sz w:val="26"/>
          <w:szCs w:val="26"/>
        </w:rPr>
        <w:t xml:space="preserve">As previously noted, </w:t>
      </w:r>
      <w:r w:rsidR="001F31B0" w:rsidRPr="00E951F4">
        <w:rPr>
          <w:sz w:val="26"/>
          <w:szCs w:val="26"/>
        </w:rPr>
        <w:t xml:space="preserve">in its </w:t>
      </w:r>
      <w:r w:rsidR="00CC22B4" w:rsidRPr="00E951F4">
        <w:rPr>
          <w:sz w:val="26"/>
          <w:szCs w:val="26"/>
        </w:rPr>
        <w:t>DSP IX, Duquesne Light</w:t>
      </w:r>
      <w:r w:rsidR="00BE1CDE" w:rsidRPr="00E951F4">
        <w:rPr>
          <w:sz w:val="26"/>
          <w:szCs w:val="26"/>
        </w:rPr>
        <w:t xml:space="preserve"> proposes to establish an optional EV-TOU Rate for Residential, </w:t>
      </w:r>
      <w:r w:rsidR="00502CD6" w:rsidRPr="00E951F4">
        <w:rPr>
          <w:sz w:val="26"/>
          <w:szCs w:val="26"/>
        </w:rPr>
        <w:t>Sma</w:t>
      </w:r>
      <w:r w:rsidR="00BE1CDE" w:rsidRPr="00E951F4">
        <w:rPr>
          <w:sz w:val="26"/>
          <w:szCs w:val="26"/>
        </w:rPr>
        <w:t>ll C&amp;I</w:t>
      </w:r>
      <w:r w:rsidR="00502CD6" w:rsidRPr="00E951F4">
        <w:rPr>
          <w:sz w:val="26"/>
          <w:szCs w:val="26"/>
        </w:rPr>
        <w:t>,</w:t>
      </w:r>
      <w:r w:rsidR="00BE1CDE" w:rsidRPr="00E951F4">
        <w:rPr>
          <w:sz w:val="26"/>
          <w:szCs w:val="26"/>
        </w:rPr>
        <w:t xml:space="preserve"> and Medium C&amp;I customers with less than 200 kW of demand who use Default Service (Rider 8) supply. </w:t>
      </w:r>
      <w:r w:rsidR="00502CD6" w:rsidRPr="00E951F4">
        <w:rPr>
          <w:sz w:val="26"/>
          <w:szCs w:val="26"/>
        </w:rPr>
        <w:t xml:space="preserve"> </w:t>
      </w:r>
      <w:r w:rsidR="00F61E41" w:rsidRPr="00E951F4">
        <w:rPr>
          <w:sz w:val="26"/>
          <w:szCs w:val="26"/>
        </w:rPr>
        <w:t>DSP IX</w:t>
      </w:r>
      <w:r w:rsidR="009007D0" w:rsidRPr="00E951F4">
        <w:rPr>
          <w:sz w:val="26"/>
          <w:szCs w:val="26"/>
        </w:rPr>
        <w:t xml:space="preserve"> </w:t>
      </w:r>
      <w:r w:rsidR="009007D0" w:rsidRPr="00E951F4">
        <w:rPr>
          <w:sz w:val="26"/>
          <w:szCs w:val="26"/>
        </w:rPr>
        <w:lastRenderedPageBreak/>
        <w:t>Petition</w:t>
      </w:r>
      <w:r w:rsidR="00F61E41" w:rsidRPr="00E951F4">
        <w:rPr>
          <w:sz w:val="26"/>
          <w:szCs w:val="26"/>
        </w:rPr>
        <w:t xml:space="preserve"> at</w:t>
      </w:r>
      <w:r w:rsidR="005974D3" w:rsidRPr="00E951F4">
        <w:rPr>
          <w:sz w:val="26"/>
          <w:szCs w:val="26"/>
        </w:rPr>
        <w:t xml:space="preserve"> 15</w:t>
      </w:r>
      <w:r w:rsidR="007A4D4C" w:rsidRPr="00E951F4">
        <w:rPr>
          <w:sz w:val="26"/>
          <w:szCs w:val="26"/>
        </w:rPr>
        <w:t xml:space="preserve">.  </w:t>
      </w:r>
      <w:r w:rsidR="00BE1CDE" w:rsidRPr="00E951F4">
        <w:rPr>
          <w:sz w:val="26"/>
          <w:szCs w:val="26"/>
        </w:rPr>
        <w:t xml:space="preserve">To be eligible for </w:t>
      </w:r>
      <w:r w:rsidR="00B3356A" w:rsidRPr="00E951F4">
        <w:rPr>
          <w:sz w:val="26"/>
          <w:szCs w:val="26"/>
        </w:rPr>
        <w:t xml:space="preserve">the </w:t>
      </w:r>
      <w:r w:rsidR="00BE1CDE" w:rsidRPr="00E951F4">
        <w:rPr>
          <w:sz w:val="26"/>
          <w:szCs w:val="26"/>
        </w:rPr>
        <w:t xml:space="preserve">EV-TOU Rate, </w:t>
      </w:r>
      <w:r w:rsidR="00B3356A" w:rsidRPr="00E951F4">
        <w:rPr>
          <w:sz w:val="26"/>
          <w:szCs w:val="26"/>
        </w:rPr>
        <w:t>a</w:t>
      </w:r>
      <w:r w:rsidR="00BE1CDE" w:rsidRPr="00E951F4">
        <w:rPr>
          <w:sz w:val="26"/>
          <w:szCs w:val="26"/>
        </w:rPr>
        <w:t xml:space="preserve"> customer </w:t>
      </w:r>
      <w:r w:rsidR="001F6DB1" w:rsidRPr="00E951F4">
        <w:rPr>
          <w:sz w:val="26"/>
          <w:szCs w:val="26"/>
        </w:rPr>
        <w:t>must</w:t>
      </w:r>
      <w:r w:rsidR="00BE1CDE" w:rsidRPr="00E951F4">
        <w:rPr>
          <w:sz w:val="26"/>
          <w:szCs w:val="26"/>
        </w:rPr>
        <w:t xml:space="preserve"> own or lease a plug-in battery electric vehicle or a plug-in hybrid electric vehicle (collectively</w:t>
      </w:r>
      <w:r w:rsidR="00B3356A" w:rsidRPr="00E951F4">
        <w:rPr>
          <w:sz w:val="26"/>
          <w:szCs w:val="26"/>
        </w:rPr>
        <w:t>,</w:t>
      </w:r>
      <w:r w:rsidR="00BE1CDE" w:rsidRPr="00E951F4">
        <w:rPr>
          <w:sz w:val="26"/>
          <w:szCs w:val="26"/>
        </w:rPr>
        <w:t xml:space="preserve"> EV) or offer charging services. </w:t>
      </w:r>
      <w:r w:rsidR="00B3356A" w:rsidRPr="00E951F4">
        <w:rPr>
          <w:sz w:val="26"/>
          <w:szCs w:val="26"/>
        </w:rPr>
        <w:t xml:space="preserve"> </w:t>
      </w:r>
      <w:r w:rsidR="00BE1CDE" w:rsidRPr="00E951F4">
        <w:rPr>
          <w:sz w:val="26"/>
          <w:szCs w:val="26"/>
        </w:rPr>
        <w:t>Duquesne Light St. 5</w:t>
      </w:r>
      <w:r w:rsidR="00B3356A" w:rsidRPr="00E951F4">
        <w:rPr>
          <w:sz w:val="26"/>
          <w:szCs w:val="26"/>
        </w:rPr>
        <w:t xml:space="preserve"> at</w:t>
      </w:r>
      <w:r w:rsidR="00BE1CDE" w:rsidRPr="00E951F4">
        <w:rPr>
          <w:sz w:val="26"/>
          <w:szCs w:val="26"/>
        </w:rPr>
        <w:t xml:space="preserve"> 19</w:t>
      </w:r>
      <w:r w:rsidR="0019092F" w:rsidRPr="00E951F4">
        <w:rPr>
          <w:sz w:val="26"/>
          <w:szCs w:val="26"/>
        </w:rPr>
        <w:t>; Duquesne Light M.B. at 16</w:t>
      </w:r>
      <w:r w:rsidR="00BE1CDE" w:rsidRPr="00E951F4">
        <w:rPr>
          <w:sz w:val="26"/>
          <w:szCs w:val="26"/>
        </w:rPr>
        <w:t>.</w:t>
      </w:r>
      <w:r w:rsidR="00B3356A" w:rsidRPr="00E951F4">
        <w:rPr>
          <w:sz w:val="26"/>
          <w:szCs w:val="26"/>
        </w:rPr>
        <w:t xml:space="preserve">  </w:t>
      </w:r>
      <w:r w:rsidR="001F6DB1" w:rsidRPr="00E951F4">
        <w:rPr>
          <w:sz w:val="26"/>
          <w:szCs w:val="26"/>
        </w:rPr>
        <w:t>C</w:t>
      </w:r>
      <w:r w:rsidR="00BE1CDE" w:rsidRPr="00E951F4">
        <w:rPr>
          <w:sz w:val="26"/>
          <w:szCs w:val="26"/>
        </w:rPr>
        <w:t xml:space="preserve">ustomers electing the EV-TOU </w:t>
      </w:r>
      <w:r w:rsidR="00C83A53" w:rsidRPr="00E951F4">
        <w:rPr>
          <w:sz w:val="26"/>
          <w:szCs w:val="26"/>
        </w:rPr>
        <w:t>R</w:t>
      </w:r>
      <w:r w:rsidR="00BE1CDE" w:rsidRPr="00E951F4">
        <w:rPr>
          <w:sz w:val="26"/>
          <w:szCs w:val="26"/>
        </w:rPr>
        <w:t>ate w</w:t>
      </w:r>
      <w:r w:rsidR="00D73A80" w:rsidRPr="00E951F4">
        <w:rPr>
          <w:sz w:val="26"/>
          <w:szCs w:val="26"/>
        </w:rPr>
        <w:t>ill</w:t>
      </w:r>
      <w:r w:rsidR="00BE1CDE" w:rsidRPr="00E951F4">
        <w:rPr>
          <w:sz w:val="26"/>
          <w:szCs w:val="26"/>
        </w:rPr>
        <w:t xml:space="preserve"> receive TOU service for the entire usage served </w:t>
      </w:r>
      <w:r w:rsidR="00D73A80" w:rsidRPr="00E951F4">
        <w:rPr>
          <w:sz w:val="26"/>
          <w:szCs w:val="26"/>
        </w:rPr>
        <w:t>by</w:t>
      </w:r>
      <w:r w:rsidR="00BE1CDE" w:rsidRPr="00E951F4">
        <w:rPr>
          <w:sz w:val="26"/>
          <w:szCs w:val="26"/>
        </w:rPr>
        <w:t xml:space="preserve"> the existing smart meter. </w:t>
      </w:r>
      <w:r w:rsidR="00D73A80" w:rsidRPr="00E951F4">
        <w:rPr>
          <w:sz w:val="26"/>
          <w:szCs w:val="26"/>
        </w:rPr>
        <w:t xml:space="preserve"> </w:t>
      </w:r>
      <w:r w:rsidR="00BE1CDE" w:rsidRPr="00E951F4">
        <w:rPr>
          <w:sz w:val="26"/>
          <w:szCs w:val="26"/>
        </w:rPr>
        <w:t>Duquesne Light</w:t>
      </w:r>
      <w:r w:rsidR="00D73A80" w:rsidRPr="00E951F4">
        <w:rPr>
          <w:sz w:val="26"/>
          <w:szCs w:val="26"/>
        </w:rPr>
        <w:t xml:space="preserve"> aver</w:t>
      </w:r>
      <w:r w:rsidR="00CE1641" w:rsidRPr="00E951F4">
        <w:rPr>
          <w:sz w:val="26"/>
          <w:szCs w:val="26"/>
        </w:rPr>
        <w:t>red</w:t>
      </w:r>
      <w:r w:rsidR="00D73A80" w:rsidRPr="00E951F4">
        <w:rPr>
          <w:sz w:val="26"/>
          <w:szCs w:val="26"/>
        </w:rPr>
        <w:t xml:space="preserve"> that</w:t>
      </w:r>
      <w:r w:rsidR="00BE1CDE" w:rsidRPr="00E951F4">
        <w:rPr>
          <w:sz w:val="26"/>
          <w:szCs w:val="26"/>
        </w:rPr>
        <w:t xml:space="preserve"> this</w:t>
      </w:r>
      <w:r w:rsidR="009007D0" w:rsidRPr="00E951F4">
        <w:rPr>
          <w:sz w:val="26"/>
          <w:szCs w:val="26"/>
        </w:rPr>
        <w:t xml:space="preserve"> rate option</w:t>
      </w:r>
      <w:r w:rsidR="00BE1CDE" w:rsidRPr="00E951F4">
        <w:rPr>
          <w:sz w:val="26"/>
          <w:szCs w:val="26"/>
        </w:rPr>
        <w:t xml:space="preserve"> will reduce the costs of electric, EV-TOU service to the customer </w:t>
      </w:r>
      <w:r w:rsidR="00D73A80" w:rsidRPr="00E951F4">
        <w:rPr>
          <w:sz w:val="26"/>
          <w:szCs w:val="26"/>
        </w:rPr>
        <w:t>because</w:t>
      </w:r>
      <w:r w:rsidR="00BE1CDE" w:rsidRPr="00E951F4">
        <w:rPr>
          <w:sz w:val="26"/>
          <w:szCs w:val="26"/>
        </w:rPr>
        <w:t xml:space="preserve"> a separate meter installation will not be required. </w:t>
      </w:r>
      <w:r w:rsidR="00D73A80" w:rsidRPr="00E951F4">
        <w:rPr>
          <w:sz w:val="26"/>
          <w:szCs w:val="26"/>
        </w:rPr>
        <w:t xml:space="preserve"> </w:t>
      </w:r>
      <w:r w:rsidR="003221A4" w:rsidRPr="00E951F4">
        <w:rPr>
          <w:sz w:val="26"/>
          <w:szCs w:val="26"/>
        </w:rPr>
        <w:t>Nevertheless</w:t>
      </w:r>
      <w:r w:rsidR="00BE1CDE" w:rsidRPr="00E951F4">
        <w:rPr>
          <w:sz w:val="26"/>
          <w:szCs w:val="26"/>
        </w:rPr>
        <w:t xml:space="preserve">, the Company plans to continue to monitor technology changes that may offer solutions to separate metering of EV usage. </w:t>
      </w:r>
      <w:r w:rsidR="00695176" w:rsidRPr="00E951F4">
        <w:rPr>
          <w:sz w:val="26"/>
          <w:szCs w:val="26"/>
        </w:rPr>
        <w:t xml:space="preserve"> </w:t>
      </w:r>
      <w:r w:rsidR="00503D48" w:rsidRPr="00E951F4">
        <w:rPr>
          <w:sz w:val="26"/>
          <w:szCs w:val="26"/>
        </w:rPr>
        <w:t xml:space="preserve">Duquesne Light </w:t>
      </w:r>
      <w:r w:rsidR="00C606D9" w:rsidRPr="00E951F4">
        <w:rPr>
          <w:sz w:val="26"/>
          <w:szCs w:val="26"/>
        </w:rPr>
        <w:t xml:space="preserve">St. 5 at 22; Duquesne Light M.B. at 18.  </w:t>
      </w:r>
      <w:r w:rsidR="003221A4" w:rsidRPr="00E951F4">
        <w:rPr>
          <w:sz w:val="26"/>
          <w:szCs w:val="26"/>
        </w:rPr>
        <w:t>As</w:t>
      </w:r>
      <w:r w:rsidR="00BE1CDE" w:rsidRPr="00E951F4">
        <w:rPr>
          <w:sz w:val="26"/>
          <w:szCs w:val="26"/>
        </w:rPr>
        <w:t xml:space="preserve"> the EV-TOU Rate will include total premises usage in order to avoid the cost to the customer of separate metering, the Company plans to provide online tools and assistance to customers in evaluating the effects of electing whole-premises TOU service.</w:t>
      </w:r>
      <w:r w:rsidR="00B6265C" w:rsidRPr="00E951F4">
        <w:rPr>
          <w:sz w:val="26"/>
          <w:szCs w:val="26"/>
        </w:rPr>
        <w:t xml:space="preserve">  Duquesne Light St. 5 at</w:t>
      </w:r>
      <w:r w:rsidR="001A278C">
        <w:rPr>
          <w:sz w:val="26"/>
          <w:szCs w:val="26"/>
        </w:rPr>
        <w:t> </w:t>
      </w:r>
      <w:r w:rsidR="00BD7B5E" w:rsidRPr="00E951F4">
        <w:rPr>
          <w:sz w:val="26"/>
          <w:szCs w:val="26"/>
        </w:rPr>
        <w:t>2</w:t>
      </w:r>
      <w:r w:rsidR="00DB17C6" w:rsidRPr="00E951F4">
        <w:rPr>
          <w:sz w:val="26"/>
          <w:szCs w:val="26"/>
        </w:rPr>
        <w:t>7</w:t>
      </w:r>
      <w:r w:rsidR="00BD7B5E" w:rsidRPr="00E951F4">
        <w:rPr>
          <w:sz w:val="26"/>
          <w:szCs w:val="26"/>
        </w:rPr>
        <w:t>; Duquesne Light M.B. at 1</w:t>
      </w:r>
      <w:r w:rsidR="00DB17C6" w:rsidRPr="00E951F4">
        <w:rPr>
          <w:sz w:val="26"/>
          <w:szCs w:val="26"/>
        </w:rPr>
        <w:t>9</w:t>
      </w:r>
      <w:r w:rsidR="00BD7B5E" w:rsidRPr="00E951F4">
        <w:rPr>
          <w:sz w:val="26"/>
          <w:szCs w:val="26"/>
        </w:rPr>
        <w:t xml:space="preserve">.  </w:t>
      </w:r>
    </w:p>
    <w:p w14:paraId="2912F526" w14:textId="77777777" w:rsidR="00A66BE0" w:rsidRPr="00E951F4" w:rsidRDefault="00A66BE0" w:rsidP="00E951F4">
      <w:pPr>
        <w:widowControl/>
        <w:kinsoku w:val="0"/>
        <w:overflowPunct w:val="0"/>
        <w:spacing w:line="360" w:lineRule="auto"/>
        <w:ind w:right="144" w:firstLine="1368"/>
        <w:textAlignment w:val="baseline"/>
        <w:rPr>
          <w:sz w:val="26"/>
          <w:szCs w:val="26"/>
        </w:rPr>
      </w:pPr>
    </w:p>
    <w:p w14:paraId="1961C02F" w14:textId="433E8EC1" w:rsidR="00BE1CDE" w:rsidRPr="00E951F4" w:rsidRDefault="00BE1CDE" w:rsidP="00E951F4">
      <w:pPr>
        <w:widowControl/>
        <w:kinsoku w:val="0"/>
        <w:overflowPunct w:val="0"/>
        <w:spacing w:line="360" w:lineRule="auto"/>
        <w:ind w:right="360" w:firstLine="1440"/>
        <w:textAlignment w:val="baseline"/>
        <w:rPr>
          <w:sz w:val="26"/>
          <w:szCs w:val="26"/>
        </w:rPr>
      </w:pPr>
      <w:r w:rsidRPr="00E951F4">
        <w:rPr>
          <w:sz w:val="26"/>
          <w:szCs w:val="26"/>
        </w:rPr>
        <w:t xml:space="preserve">The EV-TOU Rate supply will be provided by the Default Service wholesale suppliers, who will continue to receive the fixed price accepted in the Company’s competitive procurements. </w:t>
      </w:r>
      <w:r w:rsidR="00BD7B5E" w:rsidRPr="00E951F4">
        <w:rPr>
          <w:sz w:val="26"/>
          <w:szCs w:val="26"/>
        </w:rPr>
        <w:t xml:space="preserve"> </w:t>
      </w:r>
      <w:r w:rsidRPr="00E951F4">
        <w:rPr>
          <w:sz w:val="26"/>
          <w:szCs w:val="26"/>
        </w:rPr>
        <w:t>The supply costs paid to these wholesale suppliers and the revenues recovered through EV-TOU rates shall be reconciled, by customer class, through the Default Service reconciliation process.</w:t>
      </w:r>
      <w:r w:rsidR="00BD7B5E" w:rsidRPr="00E951F4">
        <w:rPr>
          <w:sz w:val="26"/>
          <w:szCs w:val="26"/>
        </w:rPr>
        <w:t xml:space="preserve">  </w:t>
      </w:r>
      <w:r w:rsidR="009B728B" w:rsidRPr="00E951F4">
        <w:rPr>
          <w:sz w:val="26"/>
          <w:szCs w:val="26"/>
        </w:rPr>
        <w:t xml:space="preserve">DSP IX </w:t>
      </w:r>
      <w:r w:rsidR="009007D0" w:rsidRPr="00E951F4">
        <w:rPr>
          <w:sz w:val="26"/>
          <w:szCs w:val="26"/>
        </w:rPr>
        <w:t xml:space="preserve">Petition </w:t>
      </w:r>
      <w:r w:rsidR="009B728B" w:rsidRPr="00E951F4">
        <w:rPr>
          <w:sz w:val="26"/>
          <w:szCs w:val="26"/>
        </w:rPr>
        <w:t xml:space="preserve">at </w:t>
      </w:r>
      <w:r w:rsidR="005974D3" w:rsidRPr="00E951F4">
        <w:rPr>
          <w:sz w:val="26"/>
          <w:szCs w:val="26"/>
        </w:rPr>
        <w:t>16</w:t>
      </w:r>
      <w:r w:rsidR="009B728B" w:rsidRPr="00E951F4">
        <w:rPr>
          <w:sz w:val="26"/>
          <w:szCs w:val="26"/>
        </w:rPr>
        <w:t xml:space="preserve">; </w:t>
      </w:r>
      <w:r w:rsidR="00BD7B5E" w:rsidRPr="00E951F4">
        <w:rPr>
          <w:sz w:val="26"/>
          <w:szCs w:val="26"/>
        </w:rPr>
        <w:t xml:space="preserve">Duquesne Light St. </w:t>
      </w:r>
      <w:r w:rsidR="00E32A96" w:rsidRPr="00E951F4">
        <w:rPr>
          <w:sz w:val="26"/>
          <w:szCs w:val="26"/>
        </w:rPr>
        <w:t xml:space="preserve">4 at 19-20; Duquesne Light M.B. at 19.  </w:t>
      </w:r>
      <w:r w:rsidRPr="00E951F4">
        <w:rPr>
          <w:sz w:val="26"/>
          <w:szCs w:val="26"/>
        </w:rPr>
        <w:t>Duquesne Light witness David Ogden</w:t>
      </w:r>
      <w:r w:rsidR="008B3994" w:rsidRPr="00E951F4">
        <w:rPr>
          <w:sz w:val="26"/>
          <w:szCs w:val="26"/>
        </w:rPr>
        <w:t>, Manager of Rates and Tariff Services for Duquesne Light,</w:t>
      </w:r>
      <w:r w:rsidR="00595C63" w:rsidRPr="00E951F4">
        <w:rPr>
          <w:sz w:val="26"/>
          <w:szCs w:val="26"/>
        </w:rPr>
        <w:t xml:space="preserve"> testified that the </w:t>
      </w:r>
      <w:r w:rsidRPr="00E951F4">
        <w:rPr>
          <w:sz w:val="26"/>
          <w:szCs w:val="26"/>
        </w:rPr>
        <w:t>Default Service fixed price for each class will be segregated into Off-Peak, On-Peak</w:t>
      </w:r>
      <w:r w:rsidR="00595C63" w:rsidRPr="00E951F4">
        <w:rPr>
          <w:sz w:val="26"/>
          <w:szCs w:val="26"/>
        </w:rPr>
        <w:t>,</w:t>
      </w:r>
      <w:r w:rsidRPr="00E951F4">
        <w:rPr>
          <w:sz w:val="26"/>
          <w:szCs w:val="26"/>
        </w:rPr>
        <w:t xml:space="preserve"> and Shoulder Period rates based upon each class’s respective energy consumption and capacity requirements. </w:t>
      </w:r>
      <w:r w:rsidR="00933266" w:rsidRPr="00E951F4">
        <w:rPr>
          <w:sz w:val="26"/>
          <w:szCs w:val="26"/>
        </w:rPr>
        <w:t xml:space="preserve"> </w:t>
      </w:r>
      <w:r w:rsidR="00312978" w:rsidRPr="00E951F4">
        <w:rPr>
          <w:sz w:val="26"/>
          <w:szCs w:val="26"/>
        </w:rPr>
        <w:t xml:space="preserve">DSP IX </w:t>
      </w:r>
      <w:r w:rsidR="009007D0" w:rsidRPr="00E951F4">
        <w:rPr>
          <w:sz w:val="26"/>
          <w:szCs w:val="26"/>
        </w:rPr>
        <w:t xml:space="preserve">Petition </w:t>
      </w:r>
      <w:r w:rsidR="00312978" w:rsidRPr="00E951F4">
        <w:rPr>
          <w:sz w:val="26"/>
          <w:szCs w:val="26"/>
        </w:rPr>
        <w:t xml:space="preserve">at </w:t>
      </w:r>
      <w:r w:rsidR="005974D3" w:rsidRPr="00E951F4">
        <w:rPr>
          <w:sz w:val="26"/>
          <w:szCs w:val="26"/>
        </w:rPr>
        <w:t>16;</w:t>
      </w:r>
      <w:r w:rsidR="00201537" w:rsidRPr="00E951F4">
        <w:rPr>
          <w:sz w:val="26"/>
          <w:szCs w:val="26"/>
        </w:rPr>
        <w:t xml:space="preserve"> </w:t>
      </w:r>
      <w:r w:rsidR="00B346B5" w:rsidRPr="00E951F4">
        <w:rPr>
          <w:sz w:val="26"/>
          <w:szCs w:val="26"/>
        </w:rPr>
        <w:t>Duquesne Light St. 4 at 17-19</w:t>
      </w:r>
      <w:r w:rsidR="000040FD" w:rsidRPr="00E951F4">
        <w:rPr>
          <w:sz w:val="26"/>
          <w:szCs w:val="26"/>
        </w:rPr>
        <w:t xml:space="preserve">; </w:t>
      </w:r>
      <w:r w:rsidR="00826D56" w:rsidRPr="00E951F4">
        <w:rPr>
          <w:sz w:val="26"/>
          <w:szCs w:val="26"/>
        </w:rPr>
        <w:t xml:space="preserve">Duquesne Light </w:t>
      </w:r>
      <w:r w:rsidR="000040FD" w:rsidRPr="00E951F4">
        <w:rPr>
          <w:sz w:val="26"/>
          <w:szCs w:val="26"/>
        </w:rPr>
        <w:t xml:space="preserve">Exh. DBO-3; </w:t>
      </w:r>
      <w:r w:rsidR="00B95541" w:rsidRPr="00E951F4">
        <w:rPr>
          <w:sz w:val="26"/>
          <w:szCs w:val="26"/>
        </w:rPr>
        <w:t>Duquesne Light St. 4</w:t>
      </w:r>
      <w:r w:rsidR="00794F9C" w:rsidRPr="00E951F4">
        <w:rPr>
          <w:sz w:val="26"/>
          <w:szCs w:val="26"/>
        </w:rPr>
        <w:t>-</w:t>
      </w:r>
      <w:r w:rsidR="00B95541" w:rsidRPr="00E951F4">
        <w:rPr>
          <w:sz w:val="26"/>
          <w:szCs w:val="26"/>
        </w:rPr>
        <w:t>R at 3-4;</w:t>
      </w:r>
      <w:r w:rsidR="00225DCC" w:rsidRPr="00E951F4">
        <w:rPr>
          <w:sz w:val="26"/>
          <w:szCs w:val="26"/>
        </w:rPr>
        <w:t xml:space="preserve"> Duquesne Light M.B. at 19.</w:t>
      </w:r>
      <w:r w:rsidR="00B95541" w:rsidRPr="00E951F4">
        <w:rPr>
          <w:sz w:val="26"/>
          <w:szCs w:val="26"/>
        </w:rPr>
        <w:t xml:space="preserve">  </w:t>
      </w:r>
      <w:r w:rsidR="00B346B5" w:rsidRPr="00E951F4">
        <w:rPr>
          <w:sz w:val="26"/>
          <w:szCs w:val="26"/>
        </w:rPr>
        <w:t xml:space="preserve"> </w:t>
      </w:r>
    </w:p>
    <w:p w14:paraId="22F13874" w14:textId="77777777" w:rsidR="00225DCC" w:rsidRPr="00E951F4" w:rsidRDefault="00225DCC" w:rsidP="00E951F4">
      <w:pPr>
        <w:widowControl/>
        <w:kinsoku w:val="0"/>
        <w:overflowPunct w:val="0"/>
        <w:spacing w:line="360" w:lineRule="auto"/>
        <w:ind w:left="144" w:right="360" w:firstLine="1440"/>
        <w:textAlignment w:val="baseline"/>
        <w:rPr>
          <w:sz w:val="26"/>
          <w:szCs w:val="26"/>
        </w:rPr>
      </w:pPr>
    </w:p>
    <w:p w14:paraId="561690E8" w14:textId="3A54B409" w:rsidR="00BE1CDE" w:rsidRDefault="00BE1CDE" w:rsidP="00E951F4">
      <w:pPr>
        <w:keepNext/>
        <w:widowControl/>
        <w:kinsoku w:val="0"/>
        <w:overflowPunct w:val="0"/>
        <w:spacing w:line="360" w:lineRule="auto"/>
        <w:ind w:left="144" w:right="864" w:firstLine="1440"/>
        <w:textAlignment w:val="baseline"/>
        <w:rPr>
          <w:sz w:val="26"/>
          <w:szCs w:val="26"/>
        </w:rPr>
      </w:pPr>
      <w:r w:rsidRPr="00E951F4">
        <w:rPr>
          <w:sz w:val="26"/>
          <w:szCs w:val="26"/>
        </w:rPr>
        <w:lastRenderedPageBreak/>
        <w:t>The On-Peak, Off-Peak</w:t>
      </w:r>
      <w:r w:rsidR="00225DCC" w:rsidRPr="00E951F4">
        <w:rPr>
          <w:sz w:val="26"/>
          <w:szCs w:val="26"/>
        </w:rPr>
        <w:t>,</w:t>
      </w:r>
      <w:r w:rsidRPr="00E951F4">
        <w:rPr>
          <w:sz w:val="26"/>
          <w:szCs w:val="26"/>
        </w:rPr>
        <w:t xml:space="preserve"> and Shoulder Periods for the EV-TOU pilot are as follows:</w:t>
      </w:r>
    </w:p>
    <w:p w14:paraId="5E8B9708" w14:textId="77777777" w:rsidR="001A278C" w:rsidRPr="00E951F4" w:rsidRDefault="001A278C" w:rsidP="001A278C">
      <w:pPr>
        <w:keepNext/>
        <w:widowControl/>
        <w:kinsoku w:val="0"/>
        <w:overflowPunct w:val="0"/>
        <w:ind w:left="144" w:right="864" w:firstLine="1440"/>
        <w:textAlignment w:val="baseline"/>
        <w:rPr>
          <w:sz w:val="26"/>
          <w:szCs w:val="26"/>
        </w:rPr>
      </w:pPr>
    </w:p>
    <w:p w14:paraId="3AC1F936" w14:textId="77777777" w:rsidR="00BE1CDE" w:rsidRPr="00E951F4" w:rsidRDefault="00BE1CDE" w:rsidP="001A278C">
      <w:pPr>
        <w:keepNext/>
        <w:widowControl/>
        <w:kinsoku w:val="0"/>
        <w:overflowPunct w:val="0"/>
        <w:spacing w:line="360" w:lineRule="auto"/>
        <w:ind w:left="720" w:firstLine="720"/>
        <w:textAlignment w:val="baseline"/>
        <w:rPr>
          <w:b/>
          <w:bCs/>
          <w:sz w:val="26"/>
          <w:szCs w:val="26"/>
        </w:rPr>
      </w:pPr>
      <w:r w:rsidRPr="00E951F4">
        <w:rPr>
          <w:b/>
          <w:bCs/>
          <w:sz w:val="26"/>
          <w:szCs w:val="26"/>
        </w:rPr>
        <w:t>EV-TOU Schedule</w:t>
      </w:r>
    </w:p>
    <w:tbl>
      <w:tblPr>
        <w:tblW w:w="0" w:type="auto"/>
        <w:tblInd w:w="1434" w:type="dxa"/>
        <w:tblLayout w:type="fixed"/>
        <w:tblCellMar>
          <w:left w:w="0" w:type="dxa"/>
          <w:right w:w="0" w:type="dxa"/>
        </w:tblCellMar>
        <w:tblLook w:val="0000" w:firstRow="0" w:lastRow="0" w:firstColumn="0" w:lastColumn="0" w:noHBand="0" w:noVBand="0"/>
      </w:tblPr>
      <w:tblGrid>
        <w:gridCol w:w="2340"/>
        <w:gridCol w:w="3240"/>
      </w:tblGrid>
      <w:tr w:rsidR="00BE1CDE" w:rsidRPr="00E951F4" w14:paraId="1DAA7838" w14:textId="77777777" w:rsidTr="001A278C">
        <w:trPr>
          <w:trHeight w:hRule="exact" w:val="427"/>
        </w:trPr>
        <w:tc>
          <w:tcPr>
            <w:tcW w:w="2340" w:type="dxa"/>
            <w:tcBorders>
              <w:top w:val="single" w:sz="5" w:space="0" w:color="auto"/>
              <w:left w:val="single" w:sz="5" w:space="0" w:color="auto"/>
              <w:bottom w:val="single" w:sz="5" w:space="0" w:color="auto"/>
              <w:right w:val="single" w:sz="5" w:space="0" w:color="auto"/>
            </w:tcBorders>
          </w:tcPr>
          <w:p w14:paraId="3E8259CB" w14:textId="77777777" w:rsidR="00BE1CDE" w:rsidRPr="00E951F4" w:rsidRDefault="00BE1CDE" w:rsidP="001A278C">
            <w:pPr>
              <w:keepNext/>
              <w:widowControl/>
              <w:kinsoku w:val="0"/>
              <w:overflowPunct w:val="0"/>
              <w:spacing w:before="60" w:after="60"/>
              <w:ind w:left="172"/>
              <w:textAlignment w:val="baseline"/>
              <w:rPr>
                <w:b/>
                <w:bCs/>
                <w:sz w:val="26"/>
                <w:szCs w:val="26"/>
              </w:rPr>
            </w:pPr>
            <w:r w:rsidRPr="00E951F4">
              <w:rPr>
                <w:b/>
                <w:bCs/>
                <w:sz w:val="26"/>
                <w:szCs w:val="26"/>
              </w:rPr>
              <w:t>Schedule</w:t>
            </w:r>
          </w:p>
        </w:tc>
        <w:tc>
          <w:tcPr>
            <w:tcW w:w="3240" w:type="dxa"/>
            <w:tcBorders>
              <w:top w:val="single" w:sz="5" w:space="0" w:color="auto"/>
              <w:left w:val="single" w:sz="5" w:space="0" w:color="auto"/>
              <w:bottom w:val="single" w:sz="5" w:space="0" w:color="auto"/>
              <w:right w:val="single" w:sz="5" w:space="0" w:color="auto"/>
            </w:tcBorders>
          </w:tcPr>
          <w:p w14:paraId="29BB9E09" w14:textId="77777777" w:rsidR="00BE1CDE" w:rsidRPr="00E951F4" w:rsidRDefault="00BE1CDE" w:rsidP="001A278C">
            <w:pPr>
              <w:keepNext/>
              <w:widowControl/>
              <w:kinsoku w:val="0"/>
              <w:overflowPunct w:val="0"/>
              <w:spacing w:before="60" w:after="60"/>
              <w:ind w:left="203"/>
              <w:textAlignment w:val="baseline"/>
              <w:rPr>
                <w:b/>
                <w:bCs/>
                <w:sz w:val="26"/>
                <w:szCs w:val="26"/>
              </w:rPr>
            </w:pPr>
            <w:r w:rsidRPr="00E951F4">
              <w:rPr>
                <w:b/>
                <w:bCs/>
                <w:sz w:val="26"/>
                <w:szCs w:val="26"/>
              </w:rPr>
              <w:t>Time Period</w:t>
            </w:r>
          </w:p>
        </w:tc>
      </w:tr>
      <w:tr w:rsidR="00BE1CDE" w:rsidRPr="00E951F4" w14:paraId="0C569023" w14:textId="77777777" w:rsidTr="001A278C">
        <w:trPr>
          <w:trHeight w:hRule="exact" w:val="423"/>
        </w:trPr>
        <w:tc>
          <w:tcPr>
            <w:tcW w:w="2340" w:type="dxa"/>
            <w:tcBorders>
              <w:top w:val="single" w:sz="5" w:space="0" w:color="auto"/>
              <w:left w:val="single" w:sz="5" w:space="0" w:color="auto"/>
              <w:bottom w:val="single" w:sz="5" w:space="0" w:color="auto"/>
              <w:right w:val="single" w:sz="5" w:space="0" w:color="auto"/>
            </w:tcBorders>
          </w:tcPr>
          <w:p w14:paraId="2FD2B19E" w14:textId="77777777" w:rsidR="00BE1CDE" w:rsidRPr="00E951F4" w:rsidRDefault="00BE1CDE" w:rsidP="001A278C">
            <w:pPr>
              <w:keepNext/>
              <w:widowControl/>
              <w:kinsoku w:val="0"/>
              <w:overflowPunct w:val="0"/>
              <w:spacing w:before="60" w:after="60"/>
              <w:ind w:left="172"/>
              <w:textAlignment w:val="baseline"/>
              <w:rPr>
                <w:sz w:val="26"/>
                <w:szCs w:val="26"/>
              </w:rPr>
            </w:pPr>
            <w:r w:rsidRPr="00E951F4">
              <w:rPr>
                <w:sz w:val="26"/>
                <w:szCs w:val="26"/>
              </w:rPr>
              <w:t>Peak</w:t>
            </w:r>
          </w:p>
        </w:tc>
        <w:tc>
          <w:tcPr>
            <w:tcW w:w="3240" w:type="dxa"/>
            <w:tcBorders>
              <w:top w:val="single" w:sz="5" w:space="0" w:color="auto"/>
              <w:left w:val="single" w:sz="5" w:space="0" w:color="auto"/>
              <w:bottom w:val="single" w:sz="5" w:space="0" w:color="auto"/>
              <w:right w:val="single" w:sz="5" w:space="0" w:color="auto"/>
            </w:tcBorders>
          </w:tcPr>
          <w:p w14:paraId="40F4D9DB" w14:textId="77777777" w:rsidR="00BE1CDE" w:rsidRPr="00E951F4" w:rsidRDefault="00BE1CDE" w:rsidP="001A278C">
            <w:pPr>
              <w:keepNext/>
              <w:widowControl/>
              <w:kinsoku w:val="0"/>
              <w:overflowPunct w:val="0"/>
              <w:spacing w:before="60" w:after="60"/>
              <w:ind w:left="203"/>
              <w:textAlignment w:val="baseline"/>
              <w:rPr>
                <w:sz w:val="26"/>
                <w:szCs w:val="26"/>
              </w:rPr>
            </w:pPr>
            <w:r w:rsidRPr="00E951F4">
              <w:rPr>
                <w:sz w:val="26"/>
                <w:szCs w:val="26"/>
              </w:rPr>
              <w:t>1 pm – 9 pm</w:t>
            </w:r>
          </w:p>
        </w:tc>
      </w:tr>
      <w:tr w:rsidR="00BE1CDE" w:rsidRPr="00E951F4" w14:paraId="78D9383F" w14:textId="77777777" w:rsidTr="001A278C">
        <w:trPr>
          <w:trHeight w:hRule="exact" w:val="427"/>
        </w:trPr>
        <w:tc>
          <w:tcPr>
            <w:tcW w:w="2340" w:type="dxa"/>
            <w:tcBorders>
              <w:top w:val="single" w:sz="5" w:space="0" w:color="auto"/>
              <w:left w:val="single" w:sz="5" w:space="0" w:color="auto"/>
              <w:bottom w:val="single" w:sz="5" w:space="0" w:color="auto"/>
              <w:right w:val="single" w:sz="5" w:space="0" w:color="auto"/>
            </w:tcBorders>
          </w:tcPr>
          <w:p w14:paraId="6FE43F91" w14:textId="77777777" w:rsidR="00BE1CDE" w:rsidRPr="00E951F4" w:rsidRDefault="00BE1CDE" w:rsidP="001A278C">
            <w:pPr>
              <w:keepNext/>
              <w:widowControl/>
              <w:kinsoku w:val="0"/>
              <w:overflowPunct w:val="0"/>
              <w:spacing w:before="60" w:after="60"/>
              <w:ind w:left="172"/>
              <w:textAlignment w:val="baseline"/>
              <w:rPr>
                <w:sz w:val="26"/>
                <w:szCs w:val="26"/>
              </w:rPr>
            </w:pPr>
            <w:r w:rsidRPr="00E951F4">
              <w:rPr>
                <w:sz w:val="26"/>
                <w:szCs w:val="26"/>
              </w:rPr>
              <w:t>Shoulder</w:t>
            </w:r>
          </w:p>
        </w:tc>
        <w:tc>
          <w:tcPr>
            <w:tcW w:w="3240" w:type="dxa"/>
            <w:tcBorders>
              <w:top w:val="single" w:sz="5" w:space="0" w:color="auto"/>
              <w:left w:val="single" w:sz="5" w:space="0" w:color="auto"/>
              <w:bottom w:val="single" w:sz="5" w:space="0" w:color="auto"/>
              <w:right w:val="single" w:sz="5" w:space="0" w:color="auto"/>
            </w:tcBorders>
          </w:tcPr>
          <w:p w14:paraId="22678800" w14:textId="77777777" w:rsidR="00BE1CDE" w:rsidRPr="00E951F4" w:rsidRDefault="00BE1CDE" w:rsidP="001A278C">
            <w:pPr>
              <w:keepNext/>
              <w:widowControl/>
              <w:kinsoku w:val="0"/>
              <w:overflowPunct w:val="0"/>
              <w:spacing w:before="60" w:after="60"/>
              <w:ind w:left="203"/>
              <w:textAlignment w:val="baseline"/>
              <w:rPr>
                <w:sz w:val="26"/>
                <w:szCs w:val="26"/>
              </w:rPr>
            </w:pPr>
            <w:r w:rsidRPr="00E951F4">
              <w:rPr>
                <w:sz w:val="26"/>
                <w:szCs w:val="26"/>
              </w:rPr>
              <w:t>6 am – 1 pm; 9 pm – 11 pm</w:t>
            </w:r>
          </w:p>
        </w:tc>
      </w:tr>
      <w:tr w:rsidR="00BE1CDE" w:rsidRPr="00E951F4" w14:paraId="1FEE2297" w14:textId="77777777" w:rsidTr="001A278C">
        <w:trPr>
          <w:trHeight w:hRule="exact" w:val="427"/>
        </w:trPr>
        <w:tc>
          <w:tcPr>
            <w:tcW w:w="2340" w:type="dxa"/>
            <w:tcBorders>
              <w:top w:val="single" w:sz="5" w:space="0" w:color="auto"/>
              <w:left w:val="single" w:sz="5" w:space="0" w:color="auto"/>
              <w:bottom w:val="single" w:sz="5" w:space="0" w:color="auto"/>
              <w:right w:val="single" w:sz="5" w:space="0" w:color="auto"/>
            </w:tcBorders>
          </w:tcPr>
          <w:p w14:paraId="404FB755" w14:textId="77777777" w:rsidR="00BE1CDE" w:rsidRPr="00E951F4" w:rsidRDefault="00BE1CDE" w:rsidP="001A278C">
            <w:pPr>
              <w:keepNext/>
              <w:widowControl/>
              <w:kinsoku w:val="0"/>
              <w:overflowPunct w:val="0"/>
              <w:spacing w:before="60" w:after="60"/>
              <w:ind w:left="172"/>
              <w:textAlignment w:val="baseline"/>
              <w:rPr>
                <w:sz w:val="26"/>
                <w:szCs w:val="26"/>
              </w:rPr>
            </w:pPr>
            <w:r w:rsidRPr="00E951F4">
              <w:rPr>
                <w:sz w:val="26"/>
                <w:szCs w:val="26"/>
              </w:rPr>
              <w:t>Off-Peak</w:t>
            </w:r>
          </w:p>
        </w:tc>
        <w:tc>
          <w:tcPr>
            <w:tcW w:w="3240" w:type="dxa"/>
            <w:tcBorders>
              <w:top w:val="single" w:sz="5" w:space="0" w:color="auto"/>
              <w:left w:val="single" w:sz="5" w:space="0" w:color="auto"/>
              <w:bottom w:val="single" w:sz="5" w:space="0" w:color="auto"/>
              <w:right w:val="single" w:sz="5" w:space="0" w:color="auto"/>
            </w:tcBorders>
          </w:tcPr>
          <w:p w14:paraId="4D3907D4" w14:textId="77777777" w:rsidR="00BE1CDE" w:rsidRPr="00E951F4" w:rsidRDefault="00BE1CDE" w:rsidP="001A278C">
            <w:pPr>
              <w:keepNext/>
              <w:widowControl/>
              <w:kinsoku w:val="0"/>
              <w:overflowPunct w:val="0"/>
              <w:spacing w:before="60" w:after="60"/>
              <w:ind w:left="203"/>
              <w:textAlignment w:val="baseline"/>
              <w:rPr>
                <w:sz w:val="26"/>
                <w:szCs w:val="26"/>
              </w:rPr>
            </w:pPr>
            <w:r w:rsidRPr="00E951F4">
              <w:rPr>
                <w:sz w:val="26"/>
                <w:szCs w:val="26"/>
              </w:rPr>
              <w:t>11 pm – 6 am</w:t>
            </w:r>
          </w:p>
        </w:tc>
      </w:tr>
    </w:tbl>
    <w:p w14:paraId="26999F9A" w14:textId="77777777" w:rsidR="00225DCC" w:rsidRPr="00E951F4" w:rsidRDefault="00225DCC" w:rsidP="001A278C">
      <w:pPr>
        <w:keepNext/>
        <w:widowControl/>
        <w:kinsoku w:val="0"/>
        <w:overflowPunct w:val="0"/>
        <w:spacing w:line="360" w:lineRule="auto"/>
        <w:ind w:left="144" w:right="288" w:firstLine="1440"/>
        <w:textAlignment w:val="baseline"/>
        <w:rPr>
          <w:sz w:val="26"/>
          <w:szCs w:val="26"/>
        </w:rPr>
      </w:pPr>
    </w:p>
    <w:p w14:paraId="099241F5" w14:textId="1A49A1D0" w:rsidR="00451F3C" w:rsidRPr="00E951F4" w:rsidRDefault="00451F3C" w:rsidP="00E951F4">
      <w:pPr>
        <w:keepNext/>
        <w:widowControl/>
        <w:kinsoku w:val="0"/>
        <w:overflowPunct w:val="0"/>
        <w:spacing w:line="360" w:lineRule="auto"/>
        <w:ind w:left="144" w:right="288" w:hanging="144"/>
        <w:textAlignment w:val="baseline"/>
        <w:rPr>
          <w:sz w:val="26"/>
          <w:szCs w:val="26"/>
        </w:rPr>
      </w:pPr>
      <w:r w:rsidRPr="00E951F4">
        <w:rPr>
          <w:sz w:val="26"/>
          <w:szCs w:val="26"/>
        </w:rPr>
        <w:t xml:space="preserve">DSP IX </w:t>
      </w:r>
      <w:r w:rsidR="009007D0" w:rsidRPr="00E951F4">
        <w:rPr>
          <w:sz w:val="26"/>
          <w:szCs w:val="26"/>
        </w:rPr>
        <w:t xml:space="preserve">Petition </w:t>
      </w:r>
      <w:r w:rsidRPr="00E951F4">
        <w:rPr>
          <w:sz w:val="26"/>
          <w:szCs w:val="26"/>
        </w:rPr>
        <w:t xml:space="preserve">at </w:t>
      </w:r>
      <w:r w:rsidR="005974D3" w:rsidRPr="00E951F4">
        <w:rPr>
          <w:sz w:val="26"/>
          <w:szCs w:val="26"/>
        </w:rPr>
        <w:t>15-16</w:t>
      </w:r>
      <w:r w:rsidRPr="00E951F4">
        <w:rPr>
          <w:sz w:val="26"/>
          <w:szCs w:val="26"/>
        </w:rPr>
        <w:t>.</w:t>
      </w:r>
    </w:p>
    <w:p w14:paraId="15D179A3" w14:textId="77777777" w:rsidR="00691B03" w:rsidRPr="00E951F4" w:rsidRDefault="00691B03" w:rsidP="00E951F4">
      <w:pPr>
        <w:keepNext/>
        <w:widowControl/>
        <w:kinsoku w:val="0"/>
        <w:overflowPunct w:val="0"/>
        <w:spacing w:line="360" w:lineRule="auto"/>
        <w:ind w:left="144" w:right="288" w:hanging="144"/>
        <w:textAlignment w:val="baseline"/>
        <w:rPr>
          <w:sz w:val="26"/>
          <w:szCs w:val="26"/>
        </w:rPr>
      </w:pPr>
    </w:p>
    <w:p w14:paraId="7570F96D" w14:textId="2E72144D" w:rsidR="00BE1CDE" w:rsidRPr="00E951F4" w:rsidRDefault="00BE1CDE" w:rsidP="00E951F4">
      <w:pPr>
        <w:widowControl/>
        <w:kinsoku w:val="0"/>
        <w:overflowPunct w:val="0"/>
        <w:spacing w:line="360" w:lineRule="auto"/>
        <w:ind w:right="288" w:firstLine="1440"/>
        <w:textAlignment w:val="baseline"/>
        <w:rPr>
          <w:sz w:val="26"/>
          <w:szCs w:val="26"/>
        </w:rPr>
      </w:pPr>
      <w:r w:rsidRPr="00E951F4">
        <w:rPr>
          <w:sz w:val="26"/>
          <w:szCs w:val="26"/>
        </w:rPr>
        <w:t xml:space="preserve">Mr. Ogden explained that </w:t>
      </w:r>
      <w:r w:rsidR="00EE105B" w:rsidRPr="00E951F4">
        <w:rPr>
          <w:sz w:val="26"/>
          <w:szCs w:val="26"/>
        </w:rPr>
        <w:t xml:space="preserve">Duquesne Light chose </w:t>
      </w:r>
      <w:r w:rsidRPr="00E951F4">
        <w:rPr>
          <w:sz w:val="26"/>
          <w:szCs w:val="26"/>
        </w:rPr>
        <w:t xml:space="preserve">the EV-TOU time periods to encourage EV charging overnight when demand is low and costs are lower and to discourage charging during peak periods when market costs of electricity are higher. </w:t>
      </w:r>
      <w:r w:rsidR="00EE105B" w:rsidRPr="00E951F4">
        <w:rPr>
          <w:sz w:val="26"/>
          <w:szCs w:val="26"/>
        </w:rPr>
        <w:t xml:space="preserve"> </w:t>
      </w:r>
      <w:r w:rsidRPr="00E951F4">
        <w:rPr>
          <w:sz w:val="26"/>
          <w:szCs w:val="26"/>
        </w:rPr>
        <w:t xml:space="preserve">Mr. Ogden also explained that the same Off-Peak Period of 11 </w:t>
      </w:r>
      <w:r w:rsidR="009346AC" w:rsidRPr="00E951F4">
        <w:rPr>
          <w:sz w:val="26"/>
          <w:szCs w:val="26"/>
        </w:rPr>
        <w:t>p.m.</w:t>
      </w:r>
      <w:r w:rsidRPr="00E951F4">
        <w:rPr>
          <w:sz w:val="26"/>
          <w:szCs w:val="26"/>
        </w:rPr>
        <w:t xml:space="preserve"> through 6</w:t>
      </w:r>
      <w:r w:rsidR="001A278C">
        <w:rPr>
          <w:sz w:val="26"/>
          <w:szCs w:val="26"/>
        </w:rPr>
        <w:t> </w:t>
      </w:r>
      <w:r w:rsidR="009346AC" w:rsidRPr="00E951F4">
        <w:rPr>
          <w:sz w:val="26"/>
          <w:szCs w:val="26"/>
        </w:rPr>
        <w:t>a.m.</w:t>
      </w:r>
      <w:r w:rsidRPr="00E951F4">
        <w:rPr>
          <w:sz w:val="26"/>
          <w:szCs w:val="26"/>
        </w:rPr>
        <w:t xml:space="preserve"> every day of the week is </w:t>
      </w:r>
      <w:r w:rsidR="00A30772" w:rsidRPr="00E951F4">
        <w:rPr>
          <w:sz w:val="26"/>
          <w:szCs w:val="26"/>
        </w:rPr>
        <w:t>easy</w:t>
      </w:r>
      <w:r w:rsidRPr="00E951F4">
        <w:rPr>
          <w:sz w:val="26"/>
          <w:szCs w:val="26"/>
        </w:rPr>
        <w:t xml:space="preserve"> for customers to understand.</w:t>
      </w:r>
      <w:r w:rsidR="00A30772" w:rsidRPr="00E951F4">
        <w:rPr>
          <w:sz w:val="26"/>
          <w:szCs w:val="26"/>
        </w:rPr>
        <w:t xml:space="preserve">  Duquesne Light St.</w:t>
      </w:r>
      <w:r w:rsidR="001A278C">
        <w:rPr>
          <w:sz w:val="26"/>
          <w:szCs w:val="26"/>
        </w:rPr>
        <w:t> </w:t>
      </w:r>
      <w:r w:rsidR="00A30772" w:rsidRPr="00E951F4">
        <w:rPr>
          <w:sz w:val="26"/>
          <w:szCs w:val="26"/>
        </w:rPr>
        <w:t>4 at 17; Duquesne Light M.B. at 19.</w:t>
      </w:r>
    </w:p>
    <w:p w14:paraId="4A71FFA3" w14:textId="77777777" w:rsidR="00FC686D" w:rsidRPr="00E951F4" w:rsidRDefault="00FC686D" w:rsidP="00E951F4">
      <w:pPr>
        <w:widowControl/>
        <w:kinsoku w:val="0"/>
        <w:overflowPunct w:val="0"/>
        <w:spacing w:line="360" w:lineRule="auto"/>
        <w:ind w:right="288" w:firstLine="1440"/>
        <w:textAlignment w:val="baseline"/>
        <w:rPr>
          <w:sz w:val="26"/>
          <w:szCs w:val="26"/>
        </w:rPr>
      </w:pPr>
    </w:p>
    <w:p w14:paraId="50AE55AD" w14:textId="69819933" w:rsidR="007B5279" w:rsidRDefault="007B5279" w:rsidP="00E951F4">
      <w:pPr>
        <w:widowControl/>
        <w:kinsoku w:val="0"/>
        <w:overflowPunct w:val="0"/>
        <w:spacing w:line="360" w:lineRule="auto"/>
        <w:ind w:right="288" w:firstLine="1440"/>
        <w:textAlignment w:val="baseline"/>
        <w:rPr>
          <w:sz w:val="26"/>
          <w:szCs w:val="26"/>
        </w:rPr>
      </w:pPr>
      <w:r w:rsidRPr="00E951F4">
        <w:rPr>
          <w:sz w:val="26"/>
          <w:szCs w:val="26"/>
        </w:rPr>
        <w:t>Duquesne Light aver</w:t>
      </w:r>
      <w:r w:rsidR="0035734D" w:rsidRPr="00E951F4">
        <w:rPr>
          <w:sz w:val="26"/>
          <w:szCs w:val="26"/>
        </w:rPr>
        <w:t>red</w:t>
      </w:r>
      <w:r w:rsidRPr="00E951F4">
        <w:rPr>
          <w:sz w:val="26"/>
          <w:szCs w:val="26"/>
        </w:rPr>
        <w:t xml:space="preserve"> that </w:t>
      </w:r>
      <w:r w:rsidR="00483A27" w:rsidRPr="00E951F4">
        <w:rPr>
          <w:sz w:val="26"/>
          <w:szCs w:val="26"/>
        </w:rPr>
        <w:t>Section 2807(f)(5) of the Code</w:t>
      </w:r>
      <w:r w:rsidR="00D8316E" w:rsidRPr="00E951F4">
        <w:rPr>
          <w:sz w:val="26"/>
          <w:szCs w:val="26"/>
        </w:rPr>
        <w:t xml:space="preserve">, 66 Pa. C.S. </w:t>
      </w:r>
      <w:r w:rsidR="00CE1641" w:rsidRPr="00E951F4">
        <w:rPr>
          <w:sz w:val="26"/>
          <w:szCs w:val="26"/>
        </w:rPr>
        <w:t>§ 2807</w:t>
      </w:r>
      <w:r w:rsidR="006977ED" w:rsidRPr="00E951F4">
        <w:rPr>
          <w:sz w:val="26"/>
          <w:szCs w:val="26"/>
        </w:rPr>
        <w:t xml:space="preserve">(f)(5), </w:t>
      </w:r>
      <w:r w:rsidR="00483A27" w:rsidRPr="00E951F4">
        <w:rPr>
          <w:sz w:val="26"/>
          <w:szCs w:val="26"/>
        </w:rPr>
        <w:t>states that TOU</w:t>
      </w:r>
      <w:r w:rsidR="00B95149" w:rsidRPr="00E951F4">
        <w:rPr>
          <w:sz w:val="26"/>
          <w:szCs w:val="26"/>
        </w:rPr>
        <w:t xml:space="preserve"> service is to be provided by the DSP.  Duquesne Light also aver</w:t>
      </w:r>
      <w:r w:rsidR="0035734D" w:rsidRPr="00E951F4">
        <w:rPr>
          <w:sz w:val="26"/>
          <w:szCs w:val="26"/>
        </w:rPr>
        <w:t>red</w:t>
      </w:r>
      <w:r w:rsidR="00B95149" w:rsidRPr="00E951F4">
        <w:rPr>
          <w:sz w:val="26"/>
          <w:szCs w:val="26"/>
        </w:rPr>
        <w:t xml:space="preserve"> that </w:t>
      </w:r>
      <w:r w:rsidR="00CE79CE" w:rsidRPr="00E951F4">
        <w:rPr>
          <w:sz w:val="26"/>
          <w:szCs w:val="26"/>
        </w:rPr>
        <w:t xml:space="preserve">the Commission’s </w:t>
      </w:r>
      <w:r w:rsidR="004778EE" w:rsidRPr="00E951F4">
        <w:rPr>
          <w:rFonts w:eastAsiaTheme="minorHAnsi"/>
          <w:i/>
          <w:iCs/>
          <w:sz w:val="26"/>
          <w:szCs w:val="26"/>
        </w:rPr>
        <w:t>Investigation into Default Service and PJM Interconnection, LLC. Settlement Reforms</w:t>
      </w:r>
      <w:r w:rsidR="004778EE" w:rsidRPr="00E951F4">
        <w:rPr>
          <w:rFonts w:eastAsiaTheme="minorHAnsi"/>
          <w:sz w:val="26"/>
          <w:szCs w:val="26"/>
        </w:rPr>
        <w:t>, Docket No. M-2019-3007101 (Secretarial Letter issued January 23, 2020) (</w:t>
      </w:r>
      <w:r w:rsidR="004778EE" w:rsidRPr="00E951F4">
        <w:rPr>
          <w:rFonts w:eastAsiaTheme="minorHAnsi"/>
          <w:i/>
          <w:iCs/>
          <w:sz w:val="26"/>
          <w:szCs w:val="26"/>
        </w:rPr>
        <w:t>January 23, 2020 Secretarial Letter</w:t>
      </w:r>
      <w:r w:rsidR="004778EE" w:rsidRPr="00E951F4">
        <w:rPr>
          <w:rFonts w:eastAsiaTheme="minorHAnsi"/>
          <w:sz w:val="26"/>
          <w:szCs w:val="26"/>
        </w:rPr>
        <w:t>)</w:t>
      </w:r>
      <w:r w:rsidR="00D90408" w:rsidRPr="00E951F4">
        <w:rPr>
          <w:sz w:val="26"/>
          <w:szCs w:val="26"/>
        </w:rPr>
        <w:t xml:space="preserve"> directs parties </w:t>
      </w:r>
      <w:r w:rsidR="00436BAD" w:rsidRPr="00E951F4">
        <w:rPr>
          <w:sz w:val="26"/>
          <w:szCs w:val="26"/>
        </w:rPr>
        <w:t xml:space="preserve">participating in Default Service proceedings to </w:t>
      </w:r>
      <w:r w:rsidR="009A7A90" w:rsidRPr="00E951F4">
        <w:rPr>
          <w:sz w:val="26"/>
          <w:szCs w:val="26"/>
        </w:rPr>
        <w:t xml:space="preserve">consider how EV-specific TOU rate offerings could be made available to customers.  </w:t>
      </w:r>
      <w:r w:rsidR="006959F3" w:rsidRPr="00E951F4">
        <w:rPr>
          <w:sz w:val="26"/>
          <w:szCs w:val="26"/>
        </w:rPr>
        <w:t>Duquesne Light note</w:t>
      </w:r>
      <w:r w:rsidR="0035734D" w:rsidRPr="00E951F4">
        <w:rPr>
          <w:sz w:val="26"/>
          <w:szCs w:val="26"/>
        </w:rPr>
        <w:t>d</w:t>
      </w:r>
      <w:r w:rsidR="006959F3" w:rsidRPr="00E951F4">
        <w:rPr>
          <w:sz w:val="26"/>
          <w:szCs w:val="26"/>
        </w:rPr>
        <w:t xml:space="preserve"> that </w:t>
      </w:r>
      <w:r w:rsidR="00A26961" w:rsidRPr="00E951F4">
        <w:rPr>
          <w:sz w:val="26"/>
          <w:szCs w:val="26"/>
        </w:rPr>
        <w:t xml:space="preserve">a Company EV-TOU rate is necessary to achieve the benefits offered by EV-TOU rates because </w:t>
      </w:r>
      <w:r w:rsidR="001B55A1" w:rsidRPr="00E951F4">
        <w:rPr>
          <w:sz w:val="26"/>
          <w:szCs w:val="26"/>
        </w:rPr>
        <w:t xml:space="preserve">no EGS is currently offering such a rate.  Duquesne Light M.B. at 20.  </w:t>
      </w:r>
      <w:r w:rsidR="00D90408" w:rsidRPr="00E951F4">
        <w:rPr>
          <w:sz w:val="26"/>
          <w:szCs w:val="26"/>
        </w:rPr>
        <w:t xml:space="preserve"> </w:t>
      </w:r>
    </w:p>
    <w:p w14:paraId="2BDF2174" w14:textId="77777777" w:rsidR="001A278C" w:rsidRPr="00E951F4" w:rsidRDefault="001A278C" w:rsidP="00E951F4">
      <w:pPr>
        <w:widowControl/>
        <w:kinsoku w:val="0"/>
        <w:overflowPunct w:val="0"/>
        <w:spacing w:line="360" w:lineRule="auto"/>
        <w:ind w:right="288" w:firstLine="1440"/>
        <w:textAlignment w:val="baseline"/>
        <w:rPr>
          <w:sz w:val="26"/>
          <w:szCs w:val="26"/>
        </w:rPr>
      </w:pPr>
    </w:p>
    <w:p w14:paraId="2558FC25" w14:textId="06368EDD" w:rsidR="00EC463E" w:rsidRPr="00E951F4" w:rsidRDefault="00EC463E" w:rsidP="00E951F4">
      <w:pPr>
        <w:widowControl/>
        <w:kinsoku w:val="0"/>
        <w:overflowPunct w:val="0"/>
        <w:spacing w:line="360" w:lineRule="auto"/>
        <w:ind w:right="144" w:firstLine="1440"/>
        <w:textAlignment w:val="baseline"/>
        <w:rPr>
          <w:sz w:val="26"/>
          <w:szCs w:val="26"/>
        </w:rPr>
      </w:pPr>
      <w:r w:rsidRPr="00E951F4">
        <w:rPr>
          <w:sz w:val="26"/>
          <w:szCs w:val="26"/>
        </w:rPr>
        <w:lastRenderedPageBreak/>
        <w:t>NRDC supports implementation of an EV-TOU program and noted the benefits of increasingly wider EV adoption</w:t>
      </w:r>
      <w:r w:rsidR="0091639D" w:rsidRPr="00E951F4">
        <w:rPr>
          <w:sz w:val="26"/>
          <w:szCs w:val="26"/>
        </w:rPr>
        <w:t xml:space="preserve">, including </w:t>
      </w:r>
      <w:r w:rsidR="002246F3" w:rsidRPr="00E951F4">
        <w:rPr>
          <w:sz w:val="26"/>
          <w:szCs w:val="26"/>
        </w:rPr>
        <w:t xml:space="preserve">EV users saving money over the life of the vehicle, </w:t>
      </w:r>
      <w:r w:rsidR="009E7E94" w:rsidRPr="00E951F4">
        <w:rPr>
          <w:sz w:val="26"/>
          <w:szCs w:val="26"/>
        </w:rPr>
        <w:t xml:space="preserve">reduction in greenhouse gas emissions, </w:t>
      </w:r>
      <w:r w:rsidR="00535AD5" w:rsidRPr="00E951F4">
        <w:rPr>
          <w:sz w:val="26"/>
          <w:szCs w:val="26"/>
        </w:rPr>
        <w:t xml:space="preserve">and </w:t>
      </w:r>
      <w:r w:rsidR="009E7E94" w:rsidRPr="00E951F4">
        <w:rPr>
          <w:sz w:val="26"/>
          <w:szCs w:val="26"/>
        </w:rPr>
        <w:t xml:space="preserve">the ability of EV users to shift load </w:t>
      </w:r>
      <w:r w:rsidR="00535AD5" w:rsidRPr="00E951F4">
        <w:rPr>
          <w:sz w:val="26"/>
          <w:szCs w:val="26"/>
        </w:rPr>
        <w:t>to off-peak hours, resulting in downward rates for all customers</w:t>
      </w:r>
      <w:r w:rsidRPr="00E951F4">
        <w:rPr>
          <w:sz w:val="26"/>
          <w:szCs w:val="26"/>
        </w:rPr>
        <w:t>.</w:t>
      </w:r>
      <w:r w:rsidR="00535AD5" w:rsidRPr="00E951F4">
        <w:rPr>
          <w:sz w:val="26"/>
          <w:szCs w:val="26"/>
        </w:rPr>
        <w:t xml:space="preserve">  NRDC M.B. at 5; NRDC St. 1 at 3-7.</w:t>
      </w:r>
      <w:r w:rsidRPr="00E951F4">
        <w:rPr>
          <w:sz w:val="26"/>
          <w:szCs w:val="26"/>
        </w:rPr>
        <w:t xml:space="preserve"> </w:t>
      </w:r>
      <w:r w:rsidR="006E56C6" w:rsidRPr="00E951F4">
        <w:rPr>
          <w:sz w:val="26"/>
          <w:szCs w:val="26"/>
        </w:rPr>
        <w:t xml:space="preserve"> Nevertheless, </w:t>
      </w:r>
      <w:r w:rsidRPr="00E951F4">
        <w:rPr>
          <w:sz w:val="26"/>
          <w:szCs w:val="26"/>
        </w:rPr>
        <w:t xml:space="preserve">NRDC </w:t>
      </w:r>
      <w:r w:rsidR="006E56C6" w:rsidRPr="00E951F4">
        <w:rPr>
          <w:sz w:val="26"/>
          <w:szCs w:val="26"/>
        </w:rPr>
        <w:t>suggested</w:t>
      </w:r>
      <w:r w:rsidRPr="00E951F4">
        <w:rPr>
          <w:sz w:val="26"/>
          <w:szCs w:val="26"/>
        </w:rPr>
        <w:t xml:space="preserve"> several modifications to the Company’s EV-TOU proposal. </w:t>
      </w:r>
      <w:r w:rsidR="006E56C6" w:rsidRPr="00E951F4">
        <w:rPr>
          <w:sz w:val="26"/>
          <w:szCs w:val="26"/>
        </w:rPr>
        <w:t xml:space="preserve"> </w:t>
      </w:r>
      <w:r w:rsidRPr="00E951F4">
        <w:rPr>
          <w:sz w:val="26"/>
          <w:szCs w:val="26"/>
        </w:rPr>
        <w:t xml:space="preserve">NRDC </w:t>
      </w:r>
      <w:r w:rsidR="0006609F" w:rsidRPr="00E951F4">
        <w:rPr>
          <w:sz w:val="26"/>
          <w:szCs w:val="26"/>
        </w:rPr>
        <w:t xml:space="preserve">averred </w:t>
      </w:r>
      <w:r w:rsidRPr="00E951F4">
        <w:rPr>
          <w:sz w:val="26"/>
          <w:szCs w:val="26"/>
        </w:rPr>
        <w:t xml:space="preserve">that approval of the EV-TOU program as a pilot program </w:t>
      </w:r>
      <w:r w:rsidR="0006609F" w:rsidRPr="00E951F4">
        <w:rPr>
          <w:sz w:val="26"/>
          <w:szCs w:val="26"/>
        </w:rPr>
        <w:t>wa</w:t>
      </w:r>
      <w:r w:rsidRPr="00E951F4">
        <w:rPr>
          <w:sz w:val="26"/>
          <w:szCs w:val="26"/>
        </w:rPr>
        <w:t xml:space="preserve">s unnecessary </w:t>
      </w:r>
      <w:r w:rsidR="0006609F" w:rsidRPr="00E951F4">
        <w:rPr>
          <w:sz w:val="26"/>
          <w:szCs w:val="26"/>
        </w:rPr>
        <w:t>because</w:t>
      </w:r>
      <w:r w:rsidRPr="00E951F4">
        <w:rPr>
          <w:sz w:val="26"/>
          <w:szCs w:val="26"/>
        </w:rPr>
        <w:t xml:space="preserve"> the benefits of EV-TOU rate offerings are well-established and present little to no risk to non-participating customers. </w:t>
      </w:r>
      <w:r w:rsidR="008E2FC9" w:rsidRPr="00E951F4">
        <w:rPr>
          <w:sz w:val="26"/>
          <w:szCs w:val="26"/>
        </w:rPr>
        <w:t xml:space="preserve"> </w:t>
      </w:r>
      <w:r w:rsidR="00E65463" w:rsidRPr="00E951F4">
        <w:rPr>
          <w:sz w:val="26"/>
          <w:szCs w:val="26"/>
        </w:rPr>
        <w:t xml:space="preserve">NRDC M.B. at 5.  </w:t>
      </w:r>
      <w:r w:rsidRPr="00E951F4">
        <w:rPr>
          <w:sz w:val="26"/>
          <w:szCs w:val="26"/>
        </w:rPr>
        <w:t xml:space="preserve">NRDC </w:t>
      </w:r>
      <w:r w:rsidR="008E2FC9" w:rsidRPr="00E951F4">
        <w:rPr>
          <w:sz w:val="26"/>
          <w:szCs w:val="26"/>
        </w:rPr>
        <w:t>noted the importance of</w:t>
      </w:r>
      <w:r w:rsidRPr="00E951F4">
        <w:rPr>
          <w:sz w:val="26"/>
          <w:szCs w:val="26"/>
        </w:rPr>
        <w:t xml:space="preserve"> clear price signals to end-use customers in order to achieve the most potential EV load-shifting</w:t>
      </w:r>
      <w:r w:rsidR="001B21C5" w:rsidRPr="00E951F4">
        <w:rPr>
          <w:sz w:val="26"/>
          <w:szCs w:val="26"/>
        </w:rPr>
        <w:t>.</w:t>
      </w:r>
      <w:r w:rsidRPr="00E951F4">
        <w:rPr>
          <w:sz w:val="26"/>
          <w:szCs w:val="26"/>
        </w:rPr>
        <w:t xml:space="preserve"> </w:t>
      </w:r>
      <w:r w:rsidR="001B21C5" w:rsidRPr="00E951F4">
        <w:rPr>
          <w:sz w:val="26"/>
          <w:szCs w:val="26"/>
        </w:rPr>
        <w:t xml:space="preserve"> </w:t>
      </w:r>
      <w:r w:rsidR="00E65463" w:rsidRPr="00E951F4">
        <w:rPr>
          <w:i/>
          <w:iCs/>
          <w:sz w:val="26"/>
          <w:szCs w:val="26"/>
        </w:rPr>
        <w:t>Id</w:t>
      </w:r>
      <w:r w:rsidR="00E65463" w:rsidRPr="00E951F4">
        <w:rPr>
          <w:sz w:val="26"/>
          <w:szCs w:val="26"/>
        </w:rPr>
        <w:t xml:space="preserve">. at 5-6.  </w:t>
      </w:r>
      <w:r w:rsidR="001B21C5" w:rsidRPr="00E951F4">
        <w:rPr>
          <w:sz w:val="26"/>
          <w:szCs w:val="26"/>
        </w:rPr>
        <w:t>F</w:t>
      </w:r>
      <w:r w:rsidRPr="00E951F4">
        <w:rPr>
          <w:sz w:val="26"/>
          <w:szCs w:val="26"/>
        </w:rPr>
        <w:t xml:space="preserve">or C&amp;I users that make EV infrastructure available to third parties, NRDC </w:t>
      </w:r>
      <w:r w:rsidR="001B21C5" w:rsidRPr="00E951F4">
        <w:rPr>
          <w:sz w:val="26"/>
          <w:szCs w:val="26"/>
        </w:rPr>
        <w:t xml:space="preserve">stated </w:t>
      </w:r>
      <w:r w:rsidRPr="00E951F4">
        <w:rPr>
          <w:sz w:val="26"/>
          <w:szCs w:val="26"/>
        </w:rPr>
        <w:t xml:space="preserve">that </w:t>
      </w:r>
      <w:r w:rsidR="00B45FE4" w:rsidRPr="00E951F4">
        <w:rPr>
          <w:sz w:val="26"/>
          <w:szCs w:val="26"/>
        </w:rPr>
        <w:t xml:space="preserve">the </w:t>
      </w:r>
      <w:r w:rsidRPr="00E951F4">
        <w:rPr>
          <w:sz w:val="26"/>
          <w:szCs w:val="26"/>
        </w:rPr>
        <w:t xml:space="preserve">default arrangement should be pass-through pricing. </w:t>
      </w:r>
      <w:r w:rsidR="008E2FC9" w:rsidRPr="00E951F4">
        <w:rPr>
          <w:sz w:val="26"/>
          <w:szCs w:val="26"/>
        </w:rPr>
        <w:t xml:space="preserve"> </w:t>
      </w:r>
      <w:r w:rsidR="00073A55" w:rsidRPr="00E951F4">
        <w:rPr>
          <w:sz w:val="26"/>
          <w:szCs w:val="26"/>
        </w:rPr>
        <w:t xml:space="preserve">NRDC M.B. at 6; NRDC St. 1 at 7-10.  </w:t>
      </w:r>
      <w:r w:rsidRPr="00E951F4">
        <w:rPr>
          <w:sz w:val="26"/>
          <w:szCs w:val="26"/>
        </w:rPr>
        <w:t xml:space="preserve">NRDC </w:t>
      </w:r>
      <w:r w:rsidR="00B45FE4" w:rsidRPr="00E951F4">
        <w:rPr>
          <w:sz w:val="26"/>
          <w:szCs w:val="26"/>
        </w:rPr>
        <w:t xml:space="preserve">also </w:t>
      </w:r>
      <w:r w:rsidRPr="00E951F4">
        <w:rPr>
          <w:sz w:val="26"/>
          <w:szCs w:val="26"/>
        </w:rPr>
        <w:t>recommended that in addition to providing customers a whole-premises rate, the Company should educate customers on the possibility of separately metering their EV load and the potential tradeoffs of pursuing either option.</w:t>
      </w:r>
      <w:r w:rsidR="00073A55" w:rsidRPr="00E951F4">
        <w:rPr>
          <w:sz w:val="26"/>
          <w:szCs w:val="26"/>
        </w:rPr>
        <w:t xml:space="preserve">  NRDC M.B. at 6; NRDC St. 1 at 11-13.</w:t>
      </w:r>
      <w:r w:rsidRPr="00E951F4">
        <w:rPr>
          <w:sz w:val="26"/>
          <w:szCs w:val="26"/>
        </w:rPr>
        <w:t xml:space="preserve"> </w:t>
      </w:r>
      <w:r w:rsidR="00B45FE4" w:rsidRPr="00E951F4">
        <w:rPr>
          <w:sz w:val="26"/>
          <w:szCs w:val="26"/>
        </w:rPr>
        <w:t xml:space="preserve"> Further, </w:t>
      </w:r>
      <w:r w:rsidRPr="00E951F4">
        <w:rPr>
          <w:sz w:val="26"/>
          <w:szCs w:val="26"/>
        </w:rPr>
        <w:t xml:space="preserve">NRDC </w:t>
      </w:r>
      <w:r w:rsidR="000C0C63" w:rsidRPr="00E951F4">
        <w:rPr>
          <w:sz w:val="26"/>
          <w:szCs w:val="26"/>
        </w:rPr>
        <w:t>suggested</w:t>
      </w:r>
      <w:r w:rsidRPr="00E951F4">
        <w:rPr>
          <w:sz w:val="26"/>
          <w:szCs w:val="26"/>
        </w:rPr>
        <w:t xml:space="preserve"> that C&amp;I TOU rate design should </w:t>
      </w:r>
      <w:r w:rsidR="000C0C63" w:rsidRPr="00E951F4">
        <w:rPr>
          <w:sz w:val="26"/>
          <w:szCs w:val="26"/>
        </w:rPr>
        <w:t>consider</w:t>
      </w:r>
      <w:r w:rsidRPr="00E951F4">
        <w:rPr>
          <w:sz w:val="26"/>
          <w:szCs w:val="26"/>
        </w:rPr>
        <w:t xml:space="preserve"> certain customers</w:t>
      </w:r>
      <w:r w:rsidR="000C0C63" w:rsidRPr="00E951F4">
        <w:rPr>
          <w:sz w:val="26"/>
          <w:szCs w:val="26"/>
        </w:rPr>
        <w:t>,</w:t>
      </w:r>
      <w:r w:rsidRPr="00E951F4">
        <w:rPr>
          <w:sz w:val="26"/>
          <w:szCs w:val="26"/>
        </w:rPr>
        <w:t xml:space="preserve"> such as those offering Direct Current Fast Charging, </w:t>
      </w:r>
      <w:r w:rsidR="005421B7" w:rsidRPr="00E951F4">
        <w:rPr>
          <w:sz w:val="26"/>
          <w:szCs w:val="26"/>
        </w:rPr>
        <w:t>that</w:t>
      </w:r>
      <w:r w:rsidRPr="00E951F4">
        <w:rPr>
          <w:sz w:val="26"/>
          <w:szCs w:val="26"/>
        </w:rPr>
        <w:t xml:space="preserve"> may be less able to shift load to off-peak hours than other C&amp;I customers.</w:t>
      </w:r>
      <w:r w:rsidR="005421B7" w:rsidRPr="00E951F4">
        <w:rPr>
          <w:sz w:val="26"/>
          <w:szCs w:val="26"/>
        </w:rPr>
        <w:t xml:space="preserve">  </w:t>
      </w:r>
      <w:r w:rsidR="002B0376" w:rsidRPr="00E951F4">
        <w:rPr>
          <w:sz w:val="26"/>
          <w:szCs w:val="26"/>
        </w:rPr>
        <w:t xml:space="preserve">NRDC M.B. at 5-6; </w:t>
      </w:r>
      <w:r w:rsidR="00CA0812" w:rsidRPr="00E951F4">
        <w:rPr>
          <w:sz w:val="26"/>
          <w:szCs w:val="26"/>
        </w:rPr>
        <w:t xml:space="preserve">NRDC St. 1 at </w:t>
      </w:r>
      <w:r w:rsidR="002B0376" w:rsidRPr="00E951F4">
        <w:rPr>
          <w:sz w:val="26"/>
          <w:szCs w:val="26"/>
        </w:rPr>
        <w:t>18-21</w:t>
      </w:r>
      <w:r w:rsidR="00CA0812" w:rsidRPr="00E951F4">
        <w:rPr>
          <w:sz w:val="26"/>
          <w:szCs w:val="26"/>
        </w:rPr>
        <w:t>.</w:t>
      </w:r>
      <w:r w:rsidR="00401C96" w:rsidRPr="00E951F4">
        <w:rPr>
          <w:sz w:val="26"/>
          <w:szCs w:val="26"/>
        </w:rPr>
        <w:t xml:space="preserve">  NRDC states that </w:t>
      </w:r>
      <w:r w:rsidR="00275D56" w:rsidRPr="00E951F4">
        <w:rPr>
          <w:sz w:val="26"/>
          <w:szCs w:val="26"/>
        </w:rPr>
        <w:t xml:space="preserve">the Company’s proposed EV-TOU rate is consistent with Act 129’s requirement that </w:t>
      </w:r>
      <w:r w:rsidR="00B03CDD" w:rsidRPr="00E951F4">
        <w:rPr>
          <w:sz w:val="26"/>
          <w:szCs w:val="26"/>
        </w:rPr>
        <w:t>DSPs offer TOU rates to smart-metered customers and is supported by substantial evidence in this proceeding.</w:t>
      </w:r>
      <w:r w:rsidR="00401C96" w:rsidRPr="00E951F4">
        <w:rPr>
          <w:sz w:val="26"/>
          <w:szCs w:val="26"/>
        </w:rPr>
        <w:t xml:space="preserve"> </w:t>
      </w:r>
      <w:r w:rsidR="00261690" w:rsidRPr="00E951F4">
        <w:rPr>
          <w:sz w:val="26"/>
          <w:szCs w:val="26"/>
        </w:rPr>
        <w:t xml:space="preserve"> </w:t>
      </w:r>
      <w:r w:rsidR="00F05A19" w:rsidRPr="00E951F4">
        <w:rPr>
          <w:sz w:val="26"/>
          <w:szCs w:val="26"/>
        </w:rPr>
        <w:t>NRDC M.B. at</w:t>
      </w:r>
      <w:r w:rsidR="00691B03" w:rsidRPr="00E951F4">
        <w:rPr>
          <w:sz w:val="26"/>
          <w:szCs w:val="26"/>
        </w:rPr>
        <w:t> </w:t>
      </w:r>
      <w:r w:rsidR="00525DEC" w:rsidRPr="00E951F4">
        <w:rPr>
          <w:sz w:val="26"/>
          <w:szCs w:val="26"/>
        </w:rPr>
        <w:t xml:space="preserve">6.  </w:t>
      </w:r>
    </w:p>
    <w:p w14:paraId="4C82961C" w14:textId="77777777" w:rsidR="009565A8" w:rsidRPr="00E951F4" w:rsidRDefault="009565A8" w:rsidP="00E951F4">
      <w:pPr>
        <w:widowControl/>
        <w:kinsoku w:val="0"/>
        <w:overflowPunct w:val="0"/>
        <w:spacing w:line="360" w:lineRule="auto"/>
        <w:ind w:right="144" w:firstLine="1440"/>
        <w:textAlignment w:val="baseline"/>
        <w:rPr>
          <w:sz w:val="26"/>
          <w:szCs w:val="26"/>
        </w:rPr>
      </w:pPr>
    </w:p>
    <w:p w14:paraId="768B82CC" w14:textId="10E32E1B" w:rsidR="00E03D90" w:rsidRPr="00E951F4" w:rsidRDefault="00F13036" w:rsidP="00E951F4">
      <w:pPr>
        <w:widowControl/>
        <w:kinsoku w:val="0"/>
        <w:overflowPunct w:val="0"/>
        <w:spacing w:line="360" w:lineRule="auto"/>
        <w:ind w:left="144" w:right="144" w:firstLine="1440"/>
        <w:textAlignment w:val="baseline"/>
        <w:rPr>
          <w:sz w:val="26"/>
          <w:szCs w:val="26"/>
        </w:rPr>
      </w:pPr>
      <w:r w:rsidRPr="00E951F4">
        <w:rPr>
          <w:sz w:val="26"/>
          <w:szCs w:val="26"/>
        </w:rPr>
        <w:t xml:space="preserve">The EGS Parties argued that Duquesne Light’s EV-TOU proposal is not supported by the record and can potentially harm the market.  EGS Parties M.B. at 7.  The EGS Parties requested that implementation of the EV-TOU rate be referred to either “a working group of interested stakeholders” or “for proposals from competitive entities...that could be implemented within the scope of Duquesne’s DSP.”  The EGS Parties wanted to reserve a potential market for EGSs if they decided to participate in </w:t>
      </w:r>
      <w:r w:rsidRPr="00E951F4">
        <w:rPr>
          <w:sz w:val="26"/>
          <w:szCs w:val="26"/>
        </w:rPr>
        <w:lastRenderedPageBreak/>
        <w:t>that market.  EGS Parties St. 1 at 21-22.  The EGS Parties did not support utilities using default service to provide competitive offerings, particularly offerings with the subsidized default service rate as the core.  The EGS Parties opined that suppliers would find it difficult to offer rates that compete with the subsidized default rate.  EGS Parties M.B. at 8.</w:t>
      </w:r>
    </w:p>
    <w:p w14:paraId="3EC4F436" w14:textId="24D97E9B" w:rsidR="00C47B6F" w:rsidRPr="00E951F4" w:rsidRDefault="00C47B6F" w:rsidP="00E951F4">
      <w:pPr>
        <w:widowControl/>
        <w:kinsoku w:val="0"/>
        <w:overflowPunct w:val="0"/>
        <w:spacing w:line="360" w:lineRule="auto"/>
        <w:ind w:right="144" w:firstLine="1440"/>
        <w:textAlignment w:val="baseline"/>
        <w:rPr>
          <w:sz w:val="26"/>
          <w:szCs w:val="26"/>
        </w:rPr>
      </w:pPr>
    </w:p>
    <w:p w14:paraId="5C9CB254" w14:textId="77777777" w:rsidR="00C47B6F" w:rsidRPr="00E951F4" w:rsidRDefault="00C47B6F" w:rsidP="00E951F4">
      <w:pPr>
        <w:pStyle w:val="Heading3"/>
      </w:pPr>
      <w:bookmarkStart w:id="82" w:name="_Toc59620145"/>
      <w:bookmarkStart w:id="83" w:name="_Toc60912041"/>
      <w:r w:rsidRPr="00E951F4">
        <w:t>EV TOU Stipulation</w:t>
      </w:r>
      <w:bookmarkEnd w:id="82"/>
      <w:bookmarkEnd w:id="83"/>
    </w:p>
    <w:p w14:paraId="71BCC073" w14:textId="77777777" w:rsidR="00C47B6F" w:rsidRPr="00E951F4" w:rsidRDefault="00C47B6F" w:rsidP="00E951F4">
      <w:pPr>
        <w:keepNext/>
        <w:widowControl/>
        <w:kinsoku w:val="0"/>
        <w:overflowPunct w:val="0"/>
        <w:spacing w:line="360" w:lineRule="auto"/>
        <w:ind w:right="144"/>
        <w:textAlignment w:val="baseline"/>
        <w:rPr>
          <w:sz w:val="26"/>
          <w:szCs w:val="26"/>
        </w:rPr>
      </w:pPr>
    </w:p>
    <w:p w14:paraId="023009FC" w14:textId="0272308A" w:rsidR="00E03D90" w:rsidRPr="00E951F4" w:rsidRDefault="00F261CE" w:rsidP="00E951F4">
      <w:pPr>
        <w:keepNext/>
        <w:widowControl/>
        <w:kinsoku w:val="0"/>
        <w:overflowPunct w:val="0"/>
        <w:spacing w:line="360" w:lineRule="auto"/>
        <w:ind w:right="144" w:firstLine="1440"/>
        <w:textAlignment w:val="baseline"/>
        <w:rPr>
          <w:sz w:val="26"/>
          <w:szCs w:val="26"/>
        </w:rPr>
      </w:pPr>
      <w:r w:rsidRPr="00E951F4">
        <w:rPr>
          <w:sz w:val="26"/>
          <w:szCs w:val="26"/>
        </w:rPr>
        <w:t xml:space="preserve">As previously discussed, </w:t>
      </w:r>
      <w:r w:rsidR="0019726D" w:rsidRPr="00E951F4">
        <w:rPr>
          <w:sz w:val="26"/>
          <w:szCs w:val="26"/>
        </w:rPr>
        <w:t xml:space="preserve">Duquesne Light, CAUSE-PA, NRDC, </w:t>
      </w:r>
      <w:r w:rsidRPr="00E951F4">
        <w:rPr>
          <w:sz w:val="26"/>
          <w:szCs w:val="26"/>
        </w:rPr>
        <w:t xml:space="preserve">the </w:t>
      </w:r>
      <w:r w:rsidR="0019726D" w:rsidRPr="00E951F4">
        <w:rPr>
          <w:sz w:val="26"/>
          <w:szCs w:val="26"/>
        </w:rPr>
        <w:t>OCA</w:t>
      </w:r>
      <w:r w:rsidRPr="00E951F4">
        <w:rPr>
          <w:sz w:val="26"/>
          <w:szCs w:val="26"/>
        </w:rPr>
        <w:t>,</w:t>
      </w:r>
      <w:r w:rsidR="0019726D" w:rsidRPr="00E951F4">
        <w:rPr>
          <w:sz w:val="26"/>
          <w:szCs w:val="26"/>
        </w:rPr>
        <w:t xml:space="preserve"> and </w:t>
      </w:r>
      <w:r w:rsidRPr="00E951F4">
        <w:rPr>
          <w:sz w:val="26"/>
          <w:szCs w:val="26"/>
        </w:rPr>
        <w:t xml:space="preserve">the </w:t>
      </w:r>
      <w:r w:rsidR="0019726D" w:rsidRPr="00E951F4">
        <w:rPr>
          <w:sz w:val="26"/>
          <w:szCs w:val="26"/>
        </w:rPr>
        <w:t xml:space="preserve">OSBA </w:t>
      </w:r>
      <w:r w:rsidRPr="00E951F4">
        <w:rPr>
          <w:sz w:val="26"/>
          <w:szCs w:val="26"/>
        </w:rPr>
        <w:t xml:space="preserve">entered into the EV-TOU Stipulation </w:t>
      </w:r>
      <w:r w:rsidR="0019726D" w:rsidRPr="00E951F4">
        <w:rPr>
          <w:sz w:val="26"/>
          <w:szCs w:val="26"/>
        </w:rPr>
        <w:t>on September 30, 2020</w:t>
      </w:r>
      <w:r w:rsidRPr="00E951F4">
        <w:rPr>
          <w:sz w:val="26"/>
          <w:szCs w:val="26"/>
        </w:rPr>
        <w:t xml:space="preserve">.  These Parties agreed to </w:t>
      </w:r>
      <w:r w:rsidR="0019726D" w:rsidRPr="00E951F4">
        <w:rPr>
          <w:sz w:val="26"/>
          <w:szCs w:val="26"/>
        </w:rPr>
        <w:t xml:space="preserve">the Company’s proposed EV-TOU </w:t>
      </w:r>
      <w:r w:rsidR="008035CF" w:rsidRPr="00E951F4">
        <w:rPr>
          <w:sz w:val="26"/>
          <w:szCs w:val="26"/>
        </w:rPr>
        <w:t>P</w:t>
      </w:r>
      <w:r w:rsidR="0019726D" w:rsidRPr="00E951F4">
        <w:rPr>
          <w:sz w:val="26"/>
          <w:szCs w:val="26"/>
        </w:rPr>
        <w:t>ilot</w:t>
      </w:r>
      <w:r w:rsidR="008035CF" w:rsidRPr="00E951F4">
        <w:rPr>
          <w:sz w:val="26"/>
          <w:szCs w:val="26"/>
        </w:rPr>
        <w:t xml:space="preserve"> Program as set forth </w:t>
      </w:r>
      <w:r w:rsidR="007C0657" w:rsidRPr="00E951F4">
        <w:rPr>
          <w:sz w:val="26"/>
          <w:szCs w:val="26"/>
        </w:rPr>
        <w:t>in Paragraphs 47-53 of the Company’s DSP</w:t>
      </w:r>
      <w:r w:rsidR="00620596" w:rsidRPr="00E951F4">
        <w:rPr>
          <w:sz w:val="26"/>
          <w:szCs w:val="26"/>
        </w:rPr>
        <w:t xml:space="preserve"> IX</w:t>
      </w:r>
      <w:r w:rsidR="00022C51" w:rsidRPr="00E951F4">
        <w:rPr>
          <w:sz w:val="26"/>
          <w:szCs w:val="26"/>
        </w:rPr>
        <w:t>,</w:t>
      </w:r>
      <w:r w:rsidR="0019726D" w:rsidRPr="00E951F4">
        <w:rPr>
          <w:sz w:val="26"/>
          <w:szCs w:val="26"/>
        </w:rPr>
        <w:t xml:space="preserve"> with the </w:t>
      </w:r>
      <w:r w:rsidR="00022C51" w:rsidRPr="00E951F4">
        <w:rPr>
          <w:sz w:val="26"/>
          <w:szCs w:val="26"/>
        </w:rPr>
        <w:t xml:space="preserve">following </w:t>
      </w:r>
      <w:r w:rsidR="0019726D" w:rsidRPr="00E951F4">
        <w:rPr>
          <w:sz w:val="26"/>
          <w:szCs w:val="26"/>
        </w:rPr>
        <w:t xml:space="preserve">modifications in the </w:t>
      </w:r>
      <w:r w:rsidR="00022C51" w:rsidRPr="00E951F4">
        <w:rPr>
          <w:sz w:val="26"/>
          <w:szCs w:val="26"/>
        </w:rPr>
        <w:t>EV-TOU Stipulation</w:t>
      </w:r>
      <w:r w:rsidR="005D5C28" w:rsidRPr="00E951F4">
        <w:rPr>
          <w:sz w:val="26"/>
          <w:szCs w:val="26"/>
        </w:rPr>
        <w:t>:</w:t>
      </w:r>
    </w:p>
    <w:p w14:paraId="4A3C31A4" w14:textId="77777777" w:rsidR="00C10C40" w:rsidRPr="00E951F4" w:rsidRDefault="00C10C40" w:rsidP="001A278C">
      <w:pPr>
        <w:widowControl/>
        <w:contextualSpacing/>
        <w:rPr>
          <w:sz w:val="26"/>
          <w:szCs w:val="26"/>
        </w:rPr>
      </w:pPr>
    </w:p>
    <w:p w14:paraId="34E67B89" w14:textId="7790A7FE" w:rsidR="00EC19B3" w:rsidRPr="00E951F4" w:rsidRDefault="00EC19B3" w:rsidP="00E951F4">
      <w:pPr>
        <w:pStyle w:val="ListParagraph"/>
        <w:numPr>
          <w:ilvl w:val="0"/>
          <w:numId w:val="10"/>
        </w:numPr>
        <w:kinsoku w:val="0"/>
        <w:overflowPunct w:val="0"/>
        <w:ind w:left="2160" w:right="1680" w:hanging="720"/>
        <w:textAlignment w:val="baseline"/>
        <w:rPr>
          <w:sz w:val="26"/>
          <w:szCs w:val="26"/>
        </w:rPr>
      </w:pPr>
      <w:r w:rsidRPr="00E951F4">
        <w:rPr>
          <w:sz w:val="26"/>
          <w:szCs w:val="26"/>
        </w:rPr>
        <w:t xml:space="preserve">Prior to filing its next Default Service Plan (DSP X), the Company will provide a report on the EV-TOU Pilot Program. </w:t>
      </w:r>
      <w:r w:rsidR="00E740A1" w:rsidRPr="00E951F4">
        <w:rPr>
          <w:sz w:val="26"/>
          <w:szCs w:val="26"/>
        </w:rPr>
        <w:t xml:space="preserve"> </w:t>
      </w:r>
      <w:r w:rsidRPr="00E951F4">
        <w:rPr>
          <w:sz w:val="26"/>
          <w:szCs w:val="26"/>
        </w:rPr>
        <w:t>The report will include:</w:t>
      </w:r>
    </w:p>
    <w:p w14:paraId="0389AE71" w14:textId="77777777" w:rsidR="002A412C" w:rsidRPr="00E951F4" w:rsidRDefault="002A412C" w:rsidP="00E951F4">
      <w:pPr>
        <w:widowControl/>
        <w:tabs>
          <w:tab w:val="left" w:pos="1584"/>
        </w:tabs>
        <w:kinsoku w:val="0"/>
        <w:overflowPunct w:val="0"/>
        <w:ind w:left="1440" w:right="1680"/>
        <w:textAlignment w:val="baseline"/>
        <w:rPr>
          <w:sz w:val="26"/>
          <w:szCs w:val="26"/>
        </w:rPr>
      </w:pPr>
    </w:p>
    <w:p w14:paraId="091DFE7B" w14:textId="040F1866" w:rsidR="00EC19B3" w:rsidRPr="00E951F4" w:rsidRDefault="00EC19B3" w:rsidP="00E951F4">
      <w:pPr>
        <w:widowControl/>
        <w:numPr>
          <w:ilvl w:val="0"/>
          <w:numId w:val="5"/>
        </w:numPr>
        <w:tabs>
          <w:tab w:val="clear" w:pos="2232"/>
        </w:tabs>
        <w:kinsoku w:val="0"/>
        <w:overflowPunct w:val="0"/>
        <w:ind w:left="2880" w:right="1680" w:hanging="720"/>
        <w:textAlignment w:val="baseline"/>
        <w:rPr>
          <w:sz w:val="26"/>
          <w:szCs w:val="26"/>
        </w:rPr>
      </w:pPr>
      <w:r w:rsidRPr="00E951F4">
        <w:rPr>
          <w:sz w:val="26"/>
          <w:szCs w:val="26"/>
        </w:rPr>
        <w:t>Customer enrollment levels by customer class (i.e., residential, small commercial, small industrial, medium commercial, and medium industrial) and enrollment levels of confirmed low-income customers and multi-unit residential buildings</w:t>
      </w:r>
    </w:p>
    <w:p w14:paraId="5227AEFC" w14:textId="77777777" w:rsidR="002A412C" w:rsidRPr="00E951F4" w:rsidRDefault="002A412C" w:rsidP="00E951F4">
      <w:pPr>
        <w:widowControl/>
        <w:kinsoku w:val="0"/>
        <w:overflowPunct w:val="0"/>
        <w:ind w:left="1656" w:right="1680"/>
        <w:textAlignment w:val="baseline"/>
        <w:rPr>
          <w:sz w:val="26"/>
          <w:szCs w:val="26"/>
        </w:rPr>
      </w:pPr>
    </w:p>
    <w:p w14:paraId="5EB861A4" w14:textId="2E06D341" w:rsidR="00EC19B3" w:rsidRPr="00E951F4" w:rsidRDefault="00EC19B3" w:rsidP="00E951F4">
      <w:pPr>
        <w:widowControl/>
        <w:numPr>
          <w:ilvl w:val="0"/>
          <w:numId w:val="5"/>
        </w:numPr>
        <w:tabs>
          <w:tab w:val="clear" w:pos="2232"/>
        </w:tabs>
        <w:kinsoku w:val="0"/>
        <w:overflowPunct w:val="0"/>
        <w:ind w:left="2790" w:right="1680" w:hanging="630"/>
        <w:textAlignment w:val="baseline"/>
        <w:rPr>
          <w:sz w:val="26"/>
          <w:szCs w:val="26"/>
        </w:rPr>
      </w:pPr>
      <w:r w:rsidRPr="00E951F4">
        <w:rPr>
          <w:sz w:val="26"/>
          <w:szCs w:val="26"/>
        </w:rPr>
        <w:t>Net customer bill impacts as compared to non-TOU rate, by customer classes identified in a.i. above</w:t>
      </w:r>
    </w:p>
    <w:p w14:paraId="63929FD5" w14:textId="77777777" w:rsidR="002A412C" w:rsidRPr="00E951F4" w:rsidRDefault="002A412C" w:rsidP="00E951F4">
      <w:pPr>
        <w:pStyle w:val="ListParagraph"/>
        <w:ind w:left="2790" w:hanging="630"/>
        <w:rPr>
          <w:sz w:val="26"/>
          <w:szCs w:val="26"/>
        </w:rPr>
      </w:pPr>
    </w:p>
    <w:p w14:paraId="6286A9D1" w14:textId="765C41B0" w:rsidR="00EC19B3" w:rsidRPr="00E951F4" w:rsidRDefault="00EC19B3" w:rsidP="00E951F4">
      <w:pPr>
        <w:widowControl/>
        <w:numPr>
          <w:ilvl w:val="0"/>
          <w:numId w:val="6"/>
        </w:numPr>
        <w:tabs>
          <w:tab w:val="clear" w:pos="2232"/>
        </w:tabs>
        <w:kinsoku w:val="0"/>
        <w:overflowPunct w:val="0"/>
        <w:ind w:left="2790" w:right="1680" w:hanging="630"/>
        <w:textAlignment w:val="baseline"/>
        <w:rPr>
          <w:sz w:val="26"/>
          <w:szCs w:val="26"/>
        </w:rPr>
      </w:pPr>
      <w:r w:rsidRPr="00E951F4">
        <w:rPr>
          <w:sz w:val="26"/>
          <w:szCs w:val="26"/>
        </w:rPr>
        <w:t>Net energy usage shifted from on-peak hours (for those customers for whom the Company has sufficient historical usage data)</w:t>
      </w:r>
    </w:p>
    <w:p w14:paraId="74387233" w14:textId="77777777" w:rsidR="00232F53" w:rsidRPr="00E951F4" w:rsidRDefault="00232F53" w:rsidP="00E951F4">
      <w:pPr>
        <w:widowControl/>
        <w:kinsoku w:val="0"/>
        <w:overflowPunct w:val="0"/>
        <w:ind w:left="2790" w:right="1680" w:hanging="630"/>
        <w:jc w:val="both"/>
        <w:textAlignment w:val="baseline"/>
        <w:rPr>
          <w:sz w:val="26"/>
          <w:szCs w:val="26"/>
        </w:rPr>
      </w:pPr>
    </w:p>
    <w:p w14:paraId="019A59C0" w14:textId="3719CF74" w:rsidR="00490714" w:rsidRPr="00E951F4" w:rsidRDefault="00EC19B3" w:rsidP="00E951F4">
      <w:pPr>
        <w:widowControl/>
        <w:numPr>
          <w:ilvl w:val="0"/>
          <w:numId w:val="5"/>
        </w:numPr>
        <w:tabs>
          <w:tab w:val="clear" w:pos="2232"/>
        </w:tabs>
        <w:kinsoku w:val="0"/>
        <w:overflowPunct w:val="0"/>
        <w:ind w:left="2790" w:right="1680" w:hanging="630"/>
        <w:textAlignment w:val="baseline"/>
        <w:rPr>
          <w:sz w:val="26"/>
          <w:szCs w:val="26"/>
        </w:rPr>
      </w:pPr>
      <w:r w:rsidRPr="00E951F4">
        <w:rPr>
          <w:sz w:val="26"/>
          <w:szCs w:val="26"/>
        </w:rPr>
        <w:t>Number of customers on the EV-TOU rate who elected to install a separate Duquesne Light meter for their EV charging facilities</w:t>
      </w:r>
    </w:p>
    <w:p w14:paraId="35B636D0" w14:textId="6A0A68AD" w:rsidR="00EC19B3" w:rsidRPr="00E951F4" w:rsidRDefault="00EC19B3" w:rsidP="00E951F4">
      <w:pPr>
        <w:pStyle w:val="ListParagraph"/>
        <w:numPr>
          <w:ilvl w:val="0"/>
          <w:numId w:val="10"/>
        </w:numPr>
        <w:kinsoku w:val="0"/>
        <w:overflowPunct w:val="0"/>
        <w:ind w:left="2160" w:right="1680" w:hanging="720"/>
        <w:jc w:val="both"/>
        <w:textAlignment w:val="baseline"/>
        <w:rPr>
          <w:sz w:val="26"/>
          <w:szCs w:val="26"/>
        </w:rPr>
      </w:pPr>
      <w:r w:rsidRPr="00E951F4">
        <w:rPr>
          <w:sz w:val="26"/>
          <w:szCs w:val="26"/>
        </w:rPr>
        <w:lastRenderedPageBreak/>
        <w:t>Customer Education:</w:t>
      </w:r>
    </w:p>
    <w:p w14:paraId="2C5E9DD3" w14:textId="77777777" w:rsidR="002A412C" w:rsidRPr="00E951F4" w:rsidRDefault="002A412C" w:rsidP="00E951F4">
      <w:pPr>
        <w:widowControl/>
        <w:tabs>
          <w:tab w:val="left" w:pos="1620"/>
        </w:tabs>
        <w:kinsoku w:val="0"/>
        <w:overflowPunct w:val="0"/>
        <w:ind w:left="1440" w:right="1680"/>
        <w:jc w:val="both"/>
        <w:textAlignment w:val="baseline"/>
        <w:rPr>
          <w:sz w:val="26"/>
          <w:szCs w:val="26"/>
        </w:rPr>
      </w:pPr>
    </w:p>
    <w:p w14:paraId="2A619B76" w14:textId="77777777" w:rsidR="00EC19B3" w:rsidRPr="00E951F4" w:rsidRDefault="00EC19B3" w:rsidP="00E951F4">
      <w:pPr>
        <w:widowControl/>
        <w:numPr>
          <w:ilvl w:val="0"/>
          <w:numId w:val="7"/>
        </w:numPr>
        <w:tabs>
          <w:tab w:val="clear" w:pos="2232"/>
        </w:tabs>
        <w:kinsoku w:val="0"/>
        <w:overflowPunct w:val="0"/>
        <w:ind w:left="2880" w:right="1680" w:hanging="720"/>
        <w:textAlignment w:val="baseline"/>
        <w:rPr>
          <w:sz w:val="26"/>
          <w:szCs w:val="26"/>
        </w:rPr>
      </w:pPr>
      <w:r w:rsidRPr="00E951F4">
        <w:rPr>
          <w:sz w:val="26"/>
          <w:szCs w:val="26"/>
        </w:rPr>
        <w:t>Prior to implementing the EV-TOU Pilot Program, the Company will provide parties with draft educational materials and solicit their feedback for consideration.</w:t>
      </w:r>
    </w:p>
    <w:p w14:paraId="7D95C5CB" w14:textId="77777777" w:rsidR="00EC19B3" w:rsidRPr="00E951F4" w:rsidRDefault="00EC19B3" w:rsidP="00E951F4">
      <w:pPr>
        <w:widowControl/>
        <w:numPr>
          <w:ilvl w:val="0"/>
          <w:numId w:val="7"/>
        </w:numPr>
        <w:tabs>
          <w:tab w:val="clear" w:pos="2232"/>
        </w:tabs>
        <w:kinsoku w:val="0"/>
        <w:overflowPunct w:val="0"/>
        <w:spacing w:before="270"/>
        <w:ind w:left="2880" w:right="1680" w:hanging="720"/>
        <w:textAlignment w:val="baseline"/>
        <w:rPr>
          <w:sz w:val="26"/>
          <w:szCs w:val="26"/>
        </w:rPr>
      </w:pPr>
      <w:r w:rsidRPr="00E951F4">
        <w:rPr>
          <w:sz w:val="26"/>
          <w:szCs w:val="26"/>
        </w:rPr>
        <w:t>The Company’s educational materials will include, as applicable:</w:t>
      </w:r>
    </w:p>
    <w:p w14:paraId="75D20B55" w14:textId="77777777" w:rsidR="00EC19B3" w:rsidRPr="00E951F4" w:rsidRDefault="00EC19B3" w:rsidP="00E951F4">
      <w:pPr>
        <w:widowControl/>
        <w:numPr>
          <w:ilvl w:val="0"/>
          <w:numId w:val="8"/>
        </w:numPr>
        <w:tabs>
          <w:tab w:val="clear" w:pos="3024"/>
        </w:tabs>
        <w:kinsoku w:val="0"/>
        <w:overflowPunct w:val="0"/>
        <w:spacing w:before="279"/>
        <w:ind w:left="3600" w:right="1680" w:hanging="720"/>
        <w:textAlignment w:val="baseline"/>
        <w:rPr>
          <w:sz w:val="26"/>
          <w:szCs w:val="26"/>
        </w:rPr>
      </w:pPr>
      <w:r w:rsidRPr="00E951F4">
        <w:rPr>
          <w:sz w:val="26"/>
          <w:szCs w:val="26"/>
        </w:rPr>
        <w:t>Information on the EV-TOU rates and its benefits</w:t>
      </w:r>
    </w:p>
    <w:p w14:paraId="1609AF32" w14:textId="77777777" w:rsidR="00EC19B3" w:rsidRPr="00E951F4" w:rsidRDefault="00EC19B3" w:rsidP="00E951F4">
      <w:pPr>
        <w:widowControl/>
        <w:numPr>
          <w:ilvl w:val="0"/>
          <w:numId w:val="8"/>
        </w:numPr>
        <w:tabs>
          <w:tab w:val="clear" w:pos="3024"/>
        </w:tabs>
        <w:kinsoku w:val="0"/>
        <w:overflowPunct w:val="0"/>
        <w:spacing w:before="277"/>
        <w:ind w:left="3600" w:right="1680" w:hanging="720"/>
        <w:textAlignment w:val="baseline"/>
        <w:rPr>
          <w:sz w:val="26"/>
          <w:szCs w:val="26"/>
        </w:rPr>
      </w:pPr>
      <w:r w:rsidRPr="00E951F4">
        <w:rPr>
          <w:sz w:val="26"/>
          <w:szCs w:val="26"/>
        </w:rPr>
        <w:t>Discussion of the 200kW threshold for C&amp;I customers, including recognition that customers whose demands exceed 200kW are not eligible for the EV-TOU rate but are instead eligible for hourly price service under Rider No. 9.</w:t>
      </w:r>
    </w:p>
    <w:p w14:paraId="0C92D9A0" w14:textId="77777777" w:rsidR="00EC19B3" w:rsidRPr="00E951F4" w:rsidRDefault="00EC19B3" w:rsidP="00E951F4">
      <w:pPr>
        <w:widowControl/>
        <w:numPr>
          <w:ilvl w:val="0"/>
          <w:numId w:val="9"/>
        </w:numPr>
        <w:tabs>
          <w:tab w:val="clear" w:pos="3024"/>
        </w:tabs>
        <w:kinsoku w:val="0"/>
        <w:overflowPunct w:val="0"/>
        <w:spacing w:before="273"/>
        <w:ind w:left="3600" w:right="1680" w:hanging="720"/>
        <w:textAlignment w:val="baseline"/>
        <w:rPr>
          <w:sz w:val="26"/>
          <w:szCs w:val="26"/>
        </w:rPr>
      </w:pPr>
      <w:r w:rsidRPr="00E951F4">
        <w:rPr>
          <w:sz w:val="26"/>
          <w:szCs w:val="26"/>
        </w:rPr>
        <w:t>Discussion of customer protections and assistance programs for Residential customers</w:t>
      </w:r>
    </w:p>
    <w:p w14:paraId="78B37509" w14:textId="008A5F01" w:rsidR="00EC19B3" w:rsidRPr="00E951F4" w:rsidRDefault="00EC19B3" w:rsidP="00E951F4">
      <w:pPr>
        <w:widowControl/>
        <w:numPr>
          <w:ilvl w:val="0"/>
          <w:numId w:val="8"/>
        </w:numPr>
        <w:tabs>
          <w:tab w:val="clear" w:pos="3024"/>
        </w:tabs>
        <w:kinsoku w:val="0"/>
        <w:overflowPunct w:val="0"/>
        <w:spacing w:before="279"/>
        <w:ind w:left="3600" w:right="1680" w:hanging="720"/>
        <w:textAlignment w:val="baseline"/>
        <w:rPr>
          <w:sz w:val="26"/>
          <w:szCs w:val="26"/>
        </w:rPr>
      </w:pPr>
      <w:r w:rsidRPr="00E951F4">
        <w:rPr>
          <w:sz w:val="26"/>
          <w:szCs w:val="26"/>
        </w:rPr>
        <w:t>Referral to D</w:t>
      </w:r>
      <w:r w:rsidR="002860A4" w:rsidRPr="00E951F4">
        <w:rPr>
          <w:sz w:val="26"/>
          <w:szCs w:val="26"/>
        </w:rPr>
        <w:t>uquesne Light’s</w:t>
      </w:r>
      <w:r w:rsidRPr="00E951F4">
        <w:rPr>
          <w:sz w:val="26"/>
          <w:szCs w:val="26"/>
        </w:rPr>
        <w:t xml:space="preserve"> online bill estimate tool for Residential customers</w:t>
      </w:r>
    </w:p>
    <w:p w14:paraId="179DD707" w14:textId="77777777" w:rsidR="00EC19B3" w:rsidRPr="00E951F4" w:rsidRDefault="00EC19B3" w:rsidP="00E951F4">
      <w:pPr>
        <w:widowControl/>
        <w:numPr>
          <w:ilvl w:val="0"/>
          <w:numId w:val="8"/>
        </w:numPr>
        <w:tabs>
          <w:tab w:val="clear" w:pos="3024"/>
        </w:tabs>
        <w:kinsoku w:val="0"/>
        <w:overflowPunct w:val="0"/>
        <w:spacing w:before="273"/>
        <w:ind w:left="3600" w:right="1680" w:hanging="720"/>
        <w:textAlignment w:val="baseline"/>
        <w:rPr>
          <w:sz w:val="26"/>
          <w:szCs w:val="26"/>
        </w:rPr>
      </w:pPr>
      <w:r w:rsidRPr="00E951F4">
        <w:rPr>
          <w:sz w:val="26"/>
          <w:szCs w:val="26"/>
        </w:rPr>
        <w:t>Express recognition that the EV-TOU rate may not be the least-cost option for all customers</w:t>
      </w:r>
    </w:p>
    <w:p w14:paraId="1D4EEBA8" w14:textId="77777777" w:rsidR="00EC19B3" w:rsidRPr="00E951F4" w:rsidRDefault="00EC19B3" w:rsidP="00E951F4">
      <w:pPr>
        <w:widowControl/>
        <w:numPr>
          <w:ilvl w:val="0"/>
          <w:numId w:val="8"/>
        </w:numPr>
        <w:tabs>
          <w:tab w:val="clear" w:pos="3024"/>
        </w:tabs>
        <w:kinsoku w:val="0"/>
        <w:overflowPunct w:val="0"/>
        <w:spacing w:before="279"/>
        <w:ind w:left="3600" w:right="1680" w:hanging="720"/>
        <w:textAlignment w:val="baseline"/>
        <w:rPr>
          <w:sz w:val="26"/>
          <w:szCs w:val="26"/>
        </w:rPr>
      </w:pPr>
      <w:r w:rsidRPr="00E951F4">
        <w:rPr>
          <w:sz w:val="26"/>
          <w:szCs w:val="26"/>
        </w:rPr>
        <w:t>The option, and potential benefits, for customers to elect to separately meter their EV load on the EV-TOU rate</w:t>
      </w:r>
    </w:p>
    <w:p w14:paraId="77B343C6" w14:textId="582D4F14" w:rsidR="00EC19B3" w:rsidRPr="00E951F4" w:rsidRDefault="00EC19B3" w:rsidP="00E951F4">
      <w:pPr>
        <w:pStyle w:val="ListParagraph"/>
        <w:numPr>
          <w:ilvl w:val="0"/>
          <w:numId w:val="10"/>
        </w:numPr>
        <w:kinsoku w:val="0"/>
        <w:overflowPunct w:val="0"/>
        <w:spacing w:before="276"/>
        <w:ind w:left="2160" w:right="1680" w:hanging="720"/>
        <w:textAlignment w:val="baseline"/>
        <w:rPr>
          <w:sz w:val="26"/>
          <w:szCs w:val="26"/>
        </w:rPr>
      </w:pPr>
      <w:r w:rsidRPr="00E951F4">
        <w:rPr>
          <w:sz w:val="26"/>
          <w:szCs w:val="26"/>
        </w:rPr>
        <w:t>The Company’s costs of outreach and education associated with the EV-TOU Pilot Program shall be allocated and recovered per the Company’s initial proposal, as described in Duquesne Light St. No. 4 and Exhibit DBO-5.</w:t>
      </w:r>
    </w:p>
    <w:p w14:paraId="333C0887" w14:textId="077F8E1E" w:rsidR="00EC19B3" w:rsidRPr="00E951F4" w:rsidRDefault="00BE222A" w:rsidP="00E951F4">
      <w:pPr>
        <w:widowControl/>
        <w:kinsoku w:val="0"/>
        <w:overflowPunct w:val="0"/>
        <w:spacing w:before="273"/>
        <w:ind w:left="2160" w:right="1680" w:hanging="720"/>
        <w:textAlignment w:val="baseline"/>
        <w:rPr>
          <w:sz w:val="26"/>
          <w:szCs w:val="26"/>
        </w:rPr>
      </w:pPr>
      <w:r w:rsidRPr="00E951F4">
        <w:rPr>
          <w:sz w:val="26"/>
          <w:szCs w:val="26"/>
        </w:rPr>
        <w:lastRenderedPageBreak/>
        <w:t>d.</w:t>
      </w:r>
      <w:r w:rsidRPr="00E951F4">
        <w:rPr>
          <w:sz w:val="26"/>
          <w:szCs w:val="26"/>
        </w:rPr>
        <w:tab/>
      </w:r>
      <w:r w:rsidR="00EC19B3" w:rsidRPr="00E951F4">
        <w:rPr>
          <w:sz w:val="26"/>
          <w:szCs w:val="26"/>
        </w:rPr>
        <w:t>The Company will annually reset the EV-TOU supply rate factors as part of its tariff supplements updating Default Service Supply rates.</w:t>
      </w:r>
    </w:p>
    <w:p w14:paraId="211FF7CA" w14:textId="04D0FD0C" w:rsidR="00EC19B3" w:rsidRPr="00E951F4" w:rsidRDefault="00EC19B3" w:rsidP="00E951F4">
      <w:pPr>
        <w:widowControl/>
        <w:kinsoku w:val="0"/>
        <w:overflowPunct w:val="0"/>
        <w:spacing w:before="284"/>
        <w:ind w:left="2160" w:right="1680" w:hanging="720"/>
        <w:textAlignment w:val="baseline"/>
        <w:rPr>
          <w:sz w:val="26"/>
          <w:szCs w:val="26"/>
        </w:rPr>
      </w:pPr>
      <w:r w:rsidRPr="00E951F4">
        <w:rPr>
          <w:sz w:val="26"/>
          <w:szCs w:val="26"/>
        </w:rPr>
        <w:t>e.</w:t>
      </w:r>
      <w:r w:rsidR="00070865" w:rsidRPr="00E951F4">
        <w:rPr>
          <w:sz w:val="26"/>
          <w:szCs w:val="26"/>
        </w:rPr>
        <w:tab/>
      </w:r>
      <w:r w:rsidRPr="00E951F4">
        <w:rPr>
          <w:sz w:val="26"/>
          <w:szCs w:val="26"/>
        </w:rPr>
        <w:t xml:space="preserve">The Company will convene one collaborative meeting with the parties around the midpoint of DSP IX to discuss the EV-TOU Pilot Program implementation and results available to date. </w:t>
      </w:r>
      <w:r w:rsidR="00EB1B6B" w:rsidRPr="00E951F4">
        <w:rPr>
          <w:sz w:val="26"/>
          <w:szCs w:val="26"/>
        </w:rPr>
        <w:t xml:space="preserve"> </w:t>
      </w:r>
      <w:r w:rsidRPr="00E951F4">
        <w:rPr>
          <w:sz w:val="26"/>
          <w:szCs w:val="26"/>
        </w:rPr>
        <w:t>The collaborative meeting will include discussion of EV-TOU rates for mass transit and fleet EVs.</w:t>
      </w:r>
    </w:p>
    <w:p w14:paraId="3FFC22FB" w14:textId="77777777" w:rsidR="007E73C6" w:rsidRPr="00E951F4" w:rsidRDefault="007E73C6" w:rsidP="00E951F4">
      <w:pPr>
        <w:widowControl/>
        <w:kinsoku w:val="0"/>
        <w:overflowPunct w:val="0"/>
        <w:spacing w:line="360" w:lineRule="auto"/>
        <w:ind w:right="216"/>
        <w:textAlignment w:val="baseline"/>
        <w:rPr>
          <w:sz w:val="26"/>
          <w:szCs w:val="26"/>
        </w:rPr>
      </w:pPr>
    </w:p>
    <w:p w14:paraId="5E6C12E9" w14:textId="766C8936" w:rsidR="00941795" w:rsidRPr="00E951F4" w:rsidRDefault="00160A22" w:rsidP="00E951F4">
      <w:pPr>
        <w:widowControl/>
        <w:kinsoku w:val="0"/>
        <w:overflowPunct w:val="0"/>
        <w:spacing w:line="360" w:lineRule="auto"/>
        <w:textAlignment w:val="baseline"/>
        <w:rPr>
          <w:sz w:val="26"/>
          <w:szCs w:val="26"/>
        </w:rPr>
      </w:pPr>
      <w:r w:rsidRPr="00E951F4">
        <w:rPr>
          <w:sz w:val="26"/>
          <w:szCs w:val="26"/>
        </w:rPr>
        <w:t xml:space="preserve">EV-TOU Stipulation at 1-2.  </w:t>
      </w:r>
      <w:r w:rsidR="00EC19B3" w:rsidRPr="00E951F4">
        <w:rPr>
          <w:sz w:val="26"/>
          <w:szCs w:val="26"/>
        </w:rPr>
        <w:t xml:space="preserve">The </w:t>
      </w:r>
      <w:r w:rsidR="00DB2AD9" w:rsidRPr="00E951F4">
        <w:rPr>
          <w:sz w:val="26"/>
          <w:szCs w:val="26"/>
        </w:rPr>
        <w:t>EV-TOU</w:t>
      </w:r>
      <w:r w:rsidR="00EC19B3" w:rsidRPr="00E951F4">
        <w:rPr>
          <w:sz w:val="26"/>
          <w:szCs w:val="26"/>
        </w:rPr>
        <w:t xml:space="preserve"> Stipulation fully resolves the stipulating </w:t>
      </w:r>
      <w:r w:rsidR="006E047D" w:rsidRPr="00E951F4">
        <w:rPr>
          <w:sz w:val="26"/>
          <w:szCs w:val="26"/>
        </w:rPr>
        <w:t>P</w:t>
      </w:r>
      <w:r w:rsidR="00EC19B3" w:rsidRPr="00E951F4">
        <w:rPr>
          <w:sz w:val="26"/>
          <w:szCs w:val="26"/>
        </w:rPr>
        <w:t>arties’ disputes</w:t>
      </w:r>
      <w:r w:rsidR="00413B31" w:rsidRPr="00E951F4">
        <w:rPr>
          <w:sz w:val="26"/>
          <w:szCs w:val="26"/>
        </w:rPr>
        <w:t xml:space="preserve"> regarding</w:t>
      </w:r>
      <w:r w:rsidR="00EC19B3" w:rsidRPr="00E951F4">
        <w:rPr>
          <w:sz w:val="26"/>
          <w:szCs w:val="26"/>
        </w:rPr>
        <w:t xml:space="preserve"> the EV-TOU program. </w:t>
      </w:r>
      <w:r w:rsidR="00413B31" w:rsidRPr="00E951F4">
        <w:rPr>
          <w:sz w:val="26"/>
          <w:szCs w:val="26"/>
        </w:rPr>
        <w:t xml:space="preserve"> Only the </w:t>
      </w:r>
      <w:r w:rsidR="00EC19B3" w:rsidRPr="00E951F4">
        <w:rPr>
          <w:sz w:val="26"/>
          <w:szCs w:val="26"/>
        </w:rPr>
        <w:t>EGS Parties object to Duquesne Light’s EV-TOU pilot</w:t>
      </w:r>
      <w:r w:rsidR="00413B31" w:rsidRPr="00E951F4">
        <w:rPr>
          <w:sz w:val="26"/>
          <w:szCs w:val="26"/>
        </w:rPr>
        <w:t>,</w:t>
      </w:r>
      <w:r w:rsidR="00EC19B3" w:rsidRPr="00E951F4">
        <w:rPr>
          <w:sz w:val="26"/>
          <w:szCs w:val="26"/>
        </w:rPr>
        <w:t xml:space="preserve"> as modified by </w:t>
      </w:r>
      <w:r w:rsidR="00413B31" w:rsidRPr="00E951F4">
        <w:rPr>
          <w:sz w:val="26"/>
          <w:szCs w:val="26"/>
        </w:rPr>
        <w:t>the EV-TOU Stipulation</w:t>
      </w:r>
      <w:r w:rsidR="00EC19B3" w:rsidRPr="00E951F4">
        <w:rPr>
          <w:sz w:val="26"/>
          <w:szCs w:val="26"/>
        </w:rPr>
        <w:t>.</w:t>
      </w:r>
    </w:p>
    <w:p w14:paraId="6A7F8CAF" w14:textId="77777777" w:rsidR="00941795" w:rsidRPr="00E951F4" w:rsidRDefault="00941795" w:rsidP="00E951F4">
      <w:pPr>
        <w:widowControl/>
        <w:kinsoku w:val="0"/>
        <w:overflowPunct w:val="0"/>
        <w:spacing w:line="360" w:lineRule="auto"/>
        <w:ind w:right="216"/>
        <w:textAlignment w:val="baseline"/>
        <w:rPr>
          <w:sz w:val="26"/>
          <w:szCs w:val="26"/>
        </w:rPr>
      </w:pPr>
    </w:p>
    <w:p w14:paraId="01AE3020" w14:textId="6B1CD06C" w:rsidR="00237F9F" w:rsidRPr="00E951F4" w:rsidRDefault="00237F9F" w:rsidP="00E951F4">
      <w:pPr>
        <w:pStyle w:val="Heading3"/>
      </w:pPr>
      <w:bookmarkStart w:id="84" w:name="_Toc59620146"/>
      <w:bookmarkStart w:id="85" w:name="_Toc60912042"/>
      <w:r w:rsidRPr="00E951F4">
        <w:t>Recommended Decision</w:t>
      </w:r>
      <w:bookmarkEnd w:id="84"/>
      <w:bookmarkEnd w:id="85"/>
    </w:p>
    <w:p w14:paraId="1278D9D3" w14:textId="77777777" w:rsidR="00237F9F" w:rsidRPr="00E951F4" w:rsidRDefault="00237F9F" w:rsidP="00E951F4">
      <w:pPr>
        <w:keepNext/>
        <w:keepLines/>
        <w:widowControl/>
        <w:spacing w:line="360" w:lineRule="auto"/>
        <w:ind w:firstLine="720"/>
        <w:contextualSpacing/>
        <w:rPr>
          <w:sz w:val="26"/>
          <w:szCs w:val="26"/>
        </w:rPr>
      </w:pPr>
    </w:p>
    <w:p w14:paraId="41492ED9" w14:textId="7B1C19CF" w:rsidR="00237F9F" w:rsidRPr="00E951F4" w:rsidRDefault="00237F9F" w:rsidP="00E951F4">
      <w:pPr>
        <w:keepNext/>
        <w:widowControl/>
        <w:kinsoku w:val="0"/>
        <w:overflowPunct w:val="0"/>
        <w:spacing w:line="360" w:lineRule="auto"/>
        <w:ind w:right="216" w:firstLine="1440"/>
        <w:textAlignment w:val="baseline"/>
        <w:rPr>
          <w:sz w:val="26"/>
          <w:szCs w:val="26"/>
        </w:rPr>
      </w:pPr>
      <w:r w:rsidRPr="00E951F4">
        <w:rPr>
          <w:sz w:val="26"/>
          <w:szCs w:val="26"/>
        </w:rPr>
        <w:t xml:space="preserve">ALJ Hoyer recommended that the Commission approve the EV-TOU pilot in the Default Service Plan, as modified by the EV-TOU Stipulation, finding that approval serves the public interest and is consistent with the statutory mandates and policy goals of the </w:t>
      </w:r>
      <w:r w:rsidR="00F15A65" w:rsidRPr="00E951F4">
        <w:rPr>
          <w:sz w:val="26"/>
          <w:szCs w:val="26"/>
        </w:rPr>
        <w:t>Competition Act</w:t>
      </w:r>
      <w:r w:rsidRPr="00E951F4">
        <w:rPr>
          <w:sz w:val="26"/>
          <w:szCs w:val="26"/>
        </w:rPr>
        <w:t xml:space="preserve"> and the Commission’s Regulations.  R.D. at 42.  The ALJ reasoned that the provision of TOU service by the Default Supplier is clearly permitted by Act 129 and codified in Section 2807(f)(5) of the Code, 66 Pa. C.S. §</w:t>
      </w:r>
      <w:r w:rsidR="001A278C">
        <w:rPr>
          <w:sz w:val="26"/>
          <w:szCs w:val="26"/>
        </w:rPr>
        <w:t> </w:t>
      </w:r>
      <w:r w:rsidRPr="00E951F4">
        <w:rPr>
          <w:sz w:val="26"/>
          <w:szCs w:val="26"/>
        </w:rPr>
        <w:t xml:space="preserve">2807(f)(5).  R.D. at 41.  The ALJ noted that the Commission stated the following in the </w:t>
      </w:r>
      <w:r w:rsidRPr="00E951F4">
        <w:rPr>
          <w:i/>
          <w:iCs/>
          <w:sz w:val="26"/>
          <w:szCs w:val="26"/>
        </w:rPr>
        <w:t>January 23, 2020</w:t>
      </w:r>
      <w:r w:rsidR="00D7452A" w:rsidRPr="00E951F4">
        <w:rPr>
          <w:i/>
          <w:iCs/>
          <w:sz w:val="26"/>
          <w:szCs w:val="26"/>
        </w:rPr>
        <w:t xml:space="preserve"> Secretarial Letter</w:t>
      </w:r>
      <w:r w:rsidRPr="00E951F4">
        <w:rPr>
          <w:sz w:val="26"/>
          <w:szCs w:val="26"/>
        </w:rPr>
        <w:t>:</w:t>
      </w:r>
    </w:p>
    <w:p w14:paraId="2F971858" w14:textId="77777777" w:rsidR="00237F9F" w:rsidRPr="00E951F4" w:rsidRDefault="00237F9F" w:rsidP="001A278C">
      <w:pPr>
        <w:widowControl/>
        <w:kinsoku w:val="0"/>
        <w:overflowPunct w:val="0"/>
        <w:ind w:left="1512" w:right="1584" w:firstLine="720"/>
        <w:textAlignment w:val="baseline"/>
        <w:rPr>
          <w:sz w:val="26"/>
          <w:szCs w:val="26"/>
        </w:rPr>
      </w:pPr>
    </w:p>
    <w:p w14:paraId="528DB5D2" w14:textId="77777777" w:rsidR="00237F9F" w:rsidRPr="00E951F4" w:rsidRDefault="00237F9F" w:rsidP="00E951F4">
      <w:pPr>
        <w:widowControl/>
        <w:kinsoku w:val="0"/>
        <w:overflowPunct w:val="0"/>
        <w:ind w:left="1440" w:right="1685"/>
        <w:textAlignment w:val="baseline"/>
        <w:rPr>
          <w:sz w:val="26"/>
          <w:szCs w:val="26"/>
        </w:rPr>
      </w:pPr>
      <w:r w:rsidRPr="00E951F4">
        <w:rPr>
          <w:sz w:val="26"/>
          <w:szCs w:val="26"/>
        </w:rPr>
        <w:t xml:space="preserve">The Default Service Provider shall offer the Time-of-Use rates and real-time price plan to all customers that have been provided with Smart Meter Technology under Paragraph (2)(III).  Residential and Commercial customers may elect to participate in Time-of-Use Rates and Real Time Pricing. </w:t>
      </w:r>
      <w:r w:rsidRPr="00E951F4">
        <w:rPr>
          <w:i/>
          <w:iCs/>
          <w:sz w:val="26"/>
          <w:szCs w:val="26"/>
        </w:rPr>
        <w:t xml:space="preserve">See </w:t>
      </w:r>
      <w:r w:rsidRPr="00E951F4">
        <w:rPr>
          <w:sz w:val="26"/>
          <w:szCs w:val="26"/>
        </w:rPr>
        <w:t>66 Pa. C.S. § 2807(f)(5).</w:t>
      </w:r>
    </w:p>
    <w:p w14:paraId="21850891" w14:textId="77777777" w:rsidR="00237F9F" w:rsidRPr="00E951F4" w:rsidRDefault="00237F9F" w:rsidP="00E951F4">
      <w:pPr>
        <w:widowControl/>
        <w:tabs>
          <w:tab w:val="left" w:pos="792"/>
        </w:tabs>
        <w:kinsoku w:val="0"/>
        <w:overflowPunct w:val="0"/>
        <w:spacing w:line="360" w:lineRule="auto"/>
        <w:ind w:left="72" w:right="144"/>
        <w:jc w:val="both"/>
        <w:textAlignment w:val="baseline"/>
        <w:rPr>
          <w:i/>
          <w:iCs/>
          <w:sz w:val="26"/>
          <w:szCs w:val="26"/>
        </w:rPr>
      </w:pPr>
    </w:p>
    <w:p w14:paraId="2C37D761" w14:textId="1CE321A3" w:rsidR="0052725B" w:rsidRPr="00E951F4" w:rsidRDefault="00237F9F" w:rsidP="00E951F4">
      <w:pPr>
        <w:widowControl/>
        <w:tabs>
          <w:tab w:val="left" w:pos="792"/>
        </w:tabs>
        <w:kinsoku w:val="0"/>
        <w:overflowPunct w:val="0"/>
        <w:spacing w:line="360" w:lineRule="auto"/>
        <w:ind w:right="144"/>
        <w:textAlignment w:val="baseline"/>
        <w:rPr>
          <w:sz w:val="26"/>
          <w:szCs w:val="26"/>
        </w:rPr>
      </w:pPr>
      <w:r w:rsidRPr="00E951F4">
        <w:rPr>
          <w:i/>
          <w:iCs/>
          <w:sz w:val="26"/>
          <w:szCs w:val="26"/>
        </w:rPr>
        <w:lastRenderedPageBreak/>
        <w:t xml:space="preserve">Id. </w:t>
      </w:r>
      <w:r w:rsidRPr="00E951F4">
        <w:rPr>
          <w:sz w:val="26"/>
          <w:szCs w:val="26"/>
        </w:rPr>
        <w:t xml:space="preserve">(citing </w:t>
      </w:r>
      <w:r w:rsidR="00413D3B" w:rsidRPr="00E951F4">
        <w:rPr>
          <w:i/>
          <w:iCs/>
          <w:sz w:val="26"/>
          <w:szCs w:val="26"/>
        </w:rPr>
        <w:t>January 23, 2020 Secretarial Letter</w:t>
      </w:r>
      <w:r w:rsidR="00413D3B" w:rsidRPr="00E951F4">
        <w:rPr>
          <w:sz w:val="26"/>
          <w:szCs w:val="26"/>
        </w:rPr>
        <w:t xml:space="preserve"> </w:t>
      </w:r>
      <w:r w:rsidR="003E268F" w:rsidRPr="00E951F4">
        <w:rPr>
          <w:sz w:val="26"/>
          <w:szCs w:val="26"/>
        </w:rPr>
        <w:t xml:space="preserve">at </w:t>
      </w:r>
      <w:r w:rsidR="005444E4" w:rsidRPr="00E951F4">
        <w:rPr>
          <w:sz w:val="26"/>
          <w:szCs w:val="26"/>
        </w:rPr>
        <w:t>6, n.4</w:t>
      </w:r>
      <w:r w:rsidRPr="00E951F4">
        <w:rPr>
          <w:sz w:val="26"/>
          <w:szCs w:val="26"/>
        </w:rPr>
        <w:t xml:space="preserve">).  Accordingly, the ALJ determined that the Commission acknowledged that the Default Service Provider is obligated to provide the TOU program, and there is no basis for an argument that the Company cannot provide EV-TOU service, particularly when there is no other supplier of such service in its market.  R.D. at 42 (citing Duquesne Light M.B. at 23; </w:t>
      </w:r>
      <w:r w:rsidRPr="00E951F4">
        <w:rPr>
          <w:i/>
          <w:iCs/>
          <w:sz w:val="26"/>
          <w:szCs w:val="26"/>
        </w:rPr>
        <w:t>Dauphin County Industrial Development Authority v. Pa. PUC</w:t>
      </w:r>
      <w:r w:rsidR="0021534C" w:rsidRPr="00E951F4">
        <w:rPr>
          <w:sz w:val="26"/>
          <w:szCs w:val="26"/>
        </w:rPr>
        <w:t xml:space="preserve"> (</w:t>
      </w:r>
      <w:r w:rsidR="0021534C" w:rsidRPr="00E951F4">
        <w:rPr>
          <w:i/>
          <w:iCs/>
          <w:sz w:val="26"/>
          <w:szCs w:val="26"/>
        </w:rPr>
        <w:t>Dauphin County</w:t>
      </w:r>
      <w:r w:rsidR="0021534C" w:rsidRPr="00E951F4">
        <w:rPr>
          <w:sz w:val="26"/>
          <w:szCs w:val="26"/>
        </w:rPr>
        <w:t>)</w:t>
      </w:r>
      <w:r w:rsidRPr="00E951F4">
        <w:rPr>
          <w:sz w:val="26"/>
          <w:szCs w:val="26"/>
        </w:rPr>
        <w:t xml:space="preserve">, 123 A.3d 1124 (Pa. Cmwlth. 2015)).  </w:t>
      </w:r>
    </w:p>
    <w:p w14:paraId="283ABA04" w14:textId="77777777" w:rsidR="00C47B6F" w:rsidRPr="00E951F4" w:rsidRDefault="00C47B6F" w:rsidP="00E951F4">
      <w:pPr>
        <w:widowControl/>
        <w:tabs>
          <w:tab w:val="left" w:pos="792"/>
        </w:tabs>
        <w:kinsoku w:val="0"/>
        <w:overflowPunct w:val="0"/>
        <w:spacing w:line="360" w:lineRule="auto"/>
        <w:ind w:right="144"/>
        <w:textAlignment w:val="baseline"/>
        <w:rPr>
          <w:sz w:val="26"/>
          <w:szCs w:val="26"/>
        </w:rPr>
      </w:pPr>
    </w:p>
    <w:p w14:paraId="040A0B59" w14:textId="5A28C386" w:rsidR="00C53863" w:rsidRPr="00E951F4" w:rsidRDefault="00C53863" w:rsidP="00E951F4">
      <w:pPr>
        <w:pStyle w:val="Heading3"/>
      </w:pPr>
      <w:bookmarkStart w:id="86" w:name="_Toc59620147"/>
      <w:bookmarkStart w:id="87" w:name="_Toc60912043"/>
      <w:r w:rsidRPr="00E951F4">
        <w:t xml:space="preserve">EGS Parties Exception </w:t>
      </w:r>
      <w:r w:rsidR="005B0117" w:rsidRPr="00E951F4">
        <w:t>No. 1</w:t>
      </w:r>
      <w:r w:rsidR="00C47B6F" w:rsidRPr="00E951F4">
        <w:t xml:space="preserve"> and</w:t>
      </w:r>
      <w:r w:rsidR="005B0117" w:rsidRPr="00E951F4">
        <w:t xml:space="preserve"> Replies</w:t>
      </w:r>
      <w:bookmarkEnd w:id="86"/>
      <w:bookmarkEnd w:id="87"/>
    </w:p>
    <w:p w14:paraId="324563CD" w14:textId="77777777" w:rsidR="00DC762C" w:rsidRPr="00E951F4" w:rsidRDefault="00DC762C" w:rsidP="00E951F4">
      <w:pPr>
        <w:keepNext/>
        <w:widowControl/>
        <w:kinsoku w:val="0"/>
        <w:overflowPunct w:val="0"/>
        <w:spacing w:line="360" w:lineRule="auto"/>
        <w:textAlignment w:val="baseline"/>
        <w:rPr>
          <w:sz w:val="26"/>
          <w:szCs w:val="26"/>
        </w:rPr>
      </w:pPr>
    </w:p>
    <w:p w14:paraId="4F33ECE5" w14:textId="432437A0" w:rsidR="00EC3121" w:rsidRPr="00E951F4" w:rsidRDefault="004F6C80" w:rsidP="00E951F4">
      <w:pPr>
        <w:keepNext/>
        <w:widowControl/>
        <w:kinsoku w:val="0"/>
        <w:overflowPunct w:val="0"/>
        <w:spacing w:line="360" w:lineRule="auto"/>
        <w:ind w:firstLine="1440"/>
        <w:textAlignment w:val="baseline"/>
        <w:rPr>
          <w:sz w:val="26"/>
          <w:szCs w:val="26"/>
        </w:rPr>
      </w:pPr>
      <w:r w:rsidRPr="00E951F4">
        <w:rPr>
          <w:sz w:val="26"/>
          <w:szCs w:val="26"/>
        </w:rPr>
        <w:t xml:space="preserve">In </w:t>
      </w:r>
      <w:r w:rsidR="00AD5A43" w:rsidRPr="00E951F4">
        <w:rPr>
          <w:sz w:val="26"/>
          <w:szCs w:val="26"/>
        </w:rPr>
        <w:t>their</w:t>
      </w:r>
      <w:r w:rsidRPr="00E951F4">
        <w:rPr>
          <w:sz w:val="26"/>
          <w:szCs w:val="26"/>
        </w:rPr>
        <w:t xml:space="preserve"> Exception</w:t>
      </w:r>
      <w:r w:rsidR="00C47B6F" w:rsidRPr="00E951F4">
        <w:rPr>
          <w:sz w:val="26"/>
          <w:szCs w:val="26"/>
        </w:rPr>
        <w:t xml:space="preserve"> No. 1</w:t>
      </w:r>
      <w:r w:rsidRPr="00E951F4">
        <w:rPr>
          <w:sz w:val="26"/>
          <w:szCs w:val="26"/>
        </w:rPr>
        <w:t>,</w:t>
      </w:r>
      <w:r w:rsidR="00AD5A43" w:rsidRPr="00E951F4">
        <w:rPr>
          <w:sz w:val="26"/>
          <w:szCs w:val="26"/>
        </w:rPr>
        <w:t xml:space="preserve"> the EGS Parties aver that the ALJ erred in approving Duquesne Light’s </w:t>
      </w:r>
      <w:r w:rsidR="00442138" w:rsidRPr="00E951F4">
        <w:rPr>
          <w:sz w:val="26"/>
          <w:szCs w:val="26"/>
        </w:rPr>
        <w:t xml:space="preserve">EV-TOU proposal.  The EGS Parties </w:t>
      </w:r>
      <w:r w:rsidR="00285FA2" w:rsidRPr="00E951F4">
        <w:rPr>
          <w:sz w:val="26"/>
          <w:szCs w:val="26"/>
        </w:rPr>
        <w:t>state that while there is a sta</w:t>
      </w:r>
      <w:r w:rsidR="007B6F74" w:rsidRPr="00E951F4">
        <w:rPr>
          <w:sz w:val="26"/>
          <w:szCs w:val="26"/>
        </w:rPr>
        <w:t>t</w:t>
      </w:r>
      <w:r w:rsidR="00285FA2" w:rsidRPr="00E951F4">
        <w:rPr>
          <w:sz w:val="26"/>
          <w:szCs w:val="26"/>
        </w:rPr>
        <w:t>u</w:t>
      </w:r>
      <w:r w:rsidR="007B6F74" w:rsidRPr="00E951F4">
        <w:rPr>
          <w:sz w:val="26"/>
          <w:szCs w:val="26"/>
        </w:rPr>
        <w:t>tory requirement to provide TOU rates, there is not a requirement</w:t>
      </w:r>
      <w:r w:rsidR="00FB2054" w:rsidRPr="00E951F4">
        <w:rPr>
          <w:sz w:val="26"/>
          <w:szCs w:val="26"/>
        </w:rPr>
        <w:t xml:space="preserve"> to provide a rate tailored to electric vehicles.  </w:t>
      </w:r>
      <w:r w:rsidR="00D5667A" w:rsidRPr="00E951F4">
        <w:rPr>
          <w:sz w:val="26"/>
          <w:szCs w:val="26"/>
        </w:rPr>
        <w:t xml:space="preserve">EGS Parties Exc. at 1.  </w:t>
      </w:r>
      <w:r w:rsidR="00FB2054" w:rsidRPr="00E951F4">
        <w:rPr>
          <w:sz w:val="26"/>
          <w:szCs w:val="26"/>
        </w:rPr>
        <w:t xml:space="preserve">The EGS Parties believe that </w:t>
      </w:r>
      <w:r w:rsidR="00C227F1" w:rsidRPr="00E951F4">
        <w:rPr>
          <w:sz w:val="26"/>
          <w:szCs w:val="26"/>
        </w:rPr>
        <w:t>the Company decided on its own to provide a rate</w:t>
      </w:r>
      <w:r w:rsidR="00ED3173" w:rsidRPr="00E951F4">
        <w:rPr>
          <w:sz w:val="26"/>
          <w:szCs w:val="26"/>
        </w:rPr>
        <w:t xml:space="preserve"> that will compete in the marketplace and keep competitors out of the market or unfairly compete against</w:t>
      </w:r>
      <w:r w:rsidR="00DC797C" w:rsidRPr="00E951F4">
        <w:rPr>
          <w:sz w:val="26"/>
          <w:szCs w:val="26"/>
        </w:rPr>
        <w:t xml:space="preserve"> competitors with a utility brand.</w:t>
      </w:r>
      <w:r w:rsidR="00FB2054" w:rsidRPr="00E951F4">
        <w:rPr>
          <w:sz w:val="26"/>
          <w:szCs w:val="26"/>
        </w:rPr>
        <w:t xml:space="preserve"> </w:t>
      </w:r>
      <w:r w:rsidR="00AD5A43" w:rsidRPr="00E951F4">
        <w:rPr>
          <w:sz w:val="26"/>
          <w:szCs w:val="26"/>
        </w:rPr>
        <w:t xml:space="preserve"> </w:t>
      </w:r>
      <w:r w:rsidR="00D5667A" w:rsidRPr="00E951F4">
        <w:rPr>
          <w:i/>
          <w:iCs/>
          <w:sz w:val="26"/>
          <w:szCs w:val="26"/>
        </w:rPr>
        <w:t>Id</w:t>
      </w:r>
      <w:r w:rsidR="00D5667A" w:rsidRPr="00E951F4">
        <w:rPr>
          <w:sz w:val="26"/>
          <w:szCs w:val="26"/>
        </w:rPr>
        <w:t xml:space="preserve">. at 1-2.  </w:t>
      </w:r>
      <w:r w:rsidR="00814FD9" w:rsidRPr="00E951F4">
        <w:rPr>
          <w:sz w:val="26"/>
          <w:szCs w:val="26"/>
        </w:rPr>
        <w:t xml:space="preserve">The EGS Parties oppose utilities providing competitive services that are not default service, noting that the Commission’s Regulations </w:t>
      </w:r>
      <w:r w:rsidR="00D5667A" w:rsidRPr="00E951F4">
        <w:rPr>
          <w:sz w:val="26"/>
          <w:szCs w:val="26"/>
        </w:rPr>
        <w:t>limit default service to a single rate offering.</w:t>
      </w:r>
      <w:r w:rsidR="00814FD9" w:rsidRPr="00E951F4">
        <w:rPr>
          <w:sz w:val="26"/>
          <w:szCs w:val="26"/>
        </w:rPr>
        <w:t xml:space="preserve"> </w:t>
      </w:r>
      <w:r w:rsidR="00D5667A" w:rsidRPr="00E951F4">
        <w:rPr>
          <w:sz w:val="26"/>
          <w:szCs w:val="26"/>
        </w:rPr>
        <w:t xml:space="preserve"> </w:t>
      </w:r>
      <w:r w:rsidR="00D5667A" w:rsidRPr="00E951F4">
        <w:rPr>
          <w:i/>
          <w:iCs/>
          <w:sz w:val="26"/>
          <w:szCs w:val="26"/>
        </w:rPr>
        <w:t>Id</w:t>
      </w:r>
      <w:r w:rsidR="00D5667A" w:rsidRPr="00E951F4">
        <w:rPr>
          <w:sz w:val="26"/>
          <w:szCs w:val="26"/>
        </w:rPr>
        <w:t>. at 2 (citing 52 Pa. Code §</w:t>
      </w:r>
      <w:r w:rsidR="00E86958" w:rsidRPr="00E951F4">
        <w:rPr>
          <w:sz w:val="26"/>
          <w:szCs w:val="26"/>
        </w:rPr>
        <w:t xml:space="preserve"> 54.187(c)).</w:t>
      </w:r>
      <w:r w:rsidR="00D5667A" w:rsidRPr="00E951F4">
        <w:rPr>
          <w:sz w:val="26"/>
          <w:szCs w:val="26"/>
        </w:rPr>
        <w:t xml:space="preserve"> </w:t>
      </w:r>
      <w:r w:rsidR="00E86958" w:rsidRPr="00E951F4">
        <w:rPr>
          <w:sz w:val="26"/>
          <w:szCs w:val="26"/>
        </w:rPr>
        <w:t xml:space="preserve"> </w:t>
      </w:r>
      <w:r w:rsidR="00DA5F3C" w:rsidRPr="00E951F4">
        <w:rPr>
          <w:sz w:val="26"/>
          <w:szCs w:val="26"/>
        </w:rPr>
        <w:t xml:space="preserve">The EGS Parties argue that the </w:t>
      </w:r>
      <w:r w:rsidR="00814FD9" w:rsidRPr="00E951F4">
        <w:rPr>
          <w:sz w:val="26"/>
          <w:szCs w:val="26"/>
        </w:rPr>
        <w:t>Default Service Rate Schedule “may” include demand side management rates only when the Commission “mandates” such rates pursuant to the Alternative Energy Portfolio Standards Act</w:t>
      </w:r>
      <w:r w:rsidR="006B20D4" w:rsidRPr="00E951F4">
        <w:rPr>
          <w:sz w:val="26"/>
          <w:szCs w:val="26"/>
        </w:rPr>
        <w:t xml:space="preserve"> (AEPS Act)</w:t>
      </w:r>
      <w:r w:rsidR="008A660E" w:rsidRPr="00E951F4">
        <w:rPr>
          <w:sz w:val="26"/>
          <w:szCs w:val="26"/>
        </w:rPr>
        <w:t xml:space="preserve">, 73 P.S. </w:t>
      </w:r>
      <w:r w:rsidR="00B12EB9" w:rsidRPr="00E951F4">
        <w:rPr>
          <w:sz w:val="26"/>
          <w:szCs w:val="26"/>
        </w:rPr>
        <w:t xml:space="preserve">§ 1648.1, </w:t>
      </w:r>
      <w:r w:rsidR="00B12EB9" w:rsidRPr="00E951F4">
        <w:rPr>
          <w:i/>
          <w:iCs/>
          <w:sz w:val="26"/>
          <w:szCs w:val="26"/>
        </w:rPr>
        <w:t>et seq</w:t>
      </w:r>
      <w:r w:rsidR="00B12EB9" w:rsidRPr="00E951F4">
        <w:rPr>
          <w:sz w:val="26"/>
          <w:szCs w:val="26"/>
        </w:rPr>
        <w:t xml:space="preserve">., which the EGS Parties </w:t>
      </w:r>
      <w:r w:rsidR="00220939" w:rsidRPr="00E951F4">
        <w:rPr>
          <w:sz w:val="26"/>
          <w:szCs w:val="26"/>
        </w:rPr>
        <w:t>state</w:t>
      </w:r>
      <w:r w:rsidR="00814FD9" w:rsidRPr="00E951F4">
        <w:rPr>
          <w:sz w:val="26"/>
          <w:szCs w:val="26"/>
        </w:rPr>
        <w:t xml:space="preserve"> has not happened here. </w:t>
      </w:r>
      <w:r w:rsidR="007D51A9" w:rsidRPr="00E951F4">
        <w:rPr>
          <w:sz w:val="26"/>
          <w:szCs w:val="26"/>
        </w:rPr>
        <w:t xml:space="preserve"> </w:t>
      </w:r>
      <w:r w:rsidR="00220939" w:rsidRPr="00E951F4">
        <w:rPr>
          <w:sz w:val="26"/>
          <w:szCs w:val="26"/>
        </w:rPr>
        <w:t xml:space="preserve">The </w:t>
      </w:r>
      <w:r w:rsidR="00814FD9" w:rsidRPr="00E951F4">
        <w:rPr>
          <w:sz w:val="26"/>
          <w:szCs w:val="26"/>
        </w:rPr>
        <w:t xml:space="preserve">EGS Parties </w:t>
      </w:r>
      <w:r w:rsidR="008029ED" w:rsidRPr="00E951F4">
        <w:rPr>
          <w:sz w:val="26"/>
          <w:szCs w:val="26"/>
        </w:rPr>
        <w:t xml:space="preserve">continue that the market will be harmed if </w:t>
      </w:r>
      <w:r w:rsidR="00814FD9" w:rsidRPr="00E951F4">
        <w:rPr>
          <w:sz w:val="26"/>
          <w:szCs w:val="26"/>
        </w:rPr>
        <w:t xml:space="preserve">Duquesne </w:t>
      </w:r>
      <w:r w:rsidR="008029ED" w:rsidRPr="00E951F4">
        <w:rPr>
          <w:sz w:val="26"/>
          <w:szCs w:val="26"/>
        </w:rPr>
        <w:t xml:space="preserve">Light’s </w:t>
      </w:r>
      <w:r w:rsidR="00814FD9" w:rsidRPr="00E951F4">
        <w:rPr>
          <w:sz w:val="26"/>
          <w:szCs w:val="26"/>
        </w:rPr>
        <w:t>proposal</w:t>
      </w:r>
      <w:r w:rsidR="004E14E7" w:rsidRPr="00E951F4">
        <w:rPr>
          <w:sz w:val="26"/>
          <w:szCs w:val="26"/>
        </w:rPr>
        <w:t xml:space="preserve"> is adopted</w:t>
      </w:r>
      <w:r w:rsidR="007D51A9" w:rsidRPr="00E951F4">
        <w:rPr>
          <w:sz w:val="26"/>
          <w:szCs w:val="26"/>
        </w:rPr>
        <w:t>, and competitors will not be able to enter the market</w:t>
      </w:r>
      <w:r w:rsidR="00814FD9" w:rsidRPr="00E951F4">
        <w:rPr>
          <w:sz w:val="26"/>
          <w:szCs w:val="26"/>
        </w:rPr>
        <w:t xml:space="preserve">. </w:t>
      </w:r>
      <w:r w:rsidR="001221E3" w:rsidRPr="00E951F4">
        <w:rPr>
          <w:sz w:val="26"/>
          <w:szCs w:val="26"/>
        </w:rPr>
        <w:t xml:space="preserve"> The EGS Parties contend that t</w:t>
      </w:r>
      <w:r w:rsidR="00814FD9" w:rsidRPr="00E951F4">
        <w:rPr>
          <w:sz w:val="26"/>
          <w:szCs w:val="26"/>
        </w:rPr>
        <w:t>here is no need for the rate</w:t>
      </w:r>
      <w:r w:rsidR="00AF4D62" w:rsidRPr="00E951F4">
        <w:rPr>
          <w:sz w:val="26"/>
          <w:szCs w:val="26"/>
        </w:rPr>
        <w:t xml:space="preserve"> and that</w:t>
      </w:r>
      <w:r w:rsidR="00814FD9" w:rsidRPr="00E951F4">
        <w:rPr>
          <w:sz w:val="26"/>
          <w:szCs w:val="26"/>
        </w:rPr>
        <w:t xml:space="preserve"> suppliers are the logical entities to provide such rates if a need arises that will make the rate profitable</w:t>
      </w:r>
      <w:r w:rsidR="007D51A9" w:rsidRPr="00E951F4">
        <w:rPr>
          <w:sz w:val="26"/>
          <w:szCs w:val="26"/>
        </w:rPr>
        <w:t>.</w:t>
      </w:r>
      <w:r w:rsidR="005B54B8" w:rsidRPr="00E951F4">
        <w:rPr>
          <w:sz w:val="26"/>
          <w:szCs w:val="26"/>
        </w:rPr>
        <w:t xml:space="preserve">  EGS Parties Exc. at 2.</w:t>
      </w:r>
    </w:p>
    <w:p w14:paraId="14119567" w14:textId="77777777" w:rsidR="00EC3121" w:rsidRPr="00E951F4" w:rsidRDefault="00EC3121" w:rsidP="00E951F4">
      <w:pPr>
        <w:widowControl/>
        <w:kinsoku w:val="0"/>
        <w:overflowPunct w:val="0"/>
        <w:spacing w:line="360" w:lineRule="auto"/>
        <w:textAlignment w:val="baseline"/>
        <w:rPr>
          <w:sz w:val="26"/>
          <w:szCs w:val="26"/>
        </w:rPr>
      </w:pPr>
    </w:p>
    <w:p w14:paraId="3BAF95D5" w14:textId="15E5FBA1" w:rsidR="000114A0" w:rsidRPr="00E951F4" w:rsidRDefault="000114A0" w:rsidP="00A13CAC">
      <w:pPr>
        <w:keepNext/>
        <w:widowControl/>
        <w:kinsoku w:val="0"/>
        <w:overflowPunct w:val="0"/>
        <w:spacing w:line="360" w:lineRule="auto"/>
        <w:ind w:left="720" w:firstLine="720"/>
        <w:textAlignment w:val="baseline"/>
        <w:rPr>
          <w:sz w:val="26"/>
          <w:szCs w:val="26"/>
        </w:rPr>
      </w:pPr>
      <w:r w:rsidRPr="00E951F4">
        <w:rPr>
          <w:b/>
          <w:bCs/>
          <w:sz w:val="26"/>
          <w:szCs w:val="26"/>
        </w:rPr>
        <w:lastRenderedPageBreak/>
        <w:t>Du</w:t>
      </w:r>
      <w:r w:rsidR="00FC45C9" w:rsidRPr="00E951F4">
        <w:rPr>
          <w:b/>
          <w:bCs/>
          <w:sz w:val="26"/>
          <w:szCs w:val="26"/>
        </w:rPr>
        <w:t>quesne Light Replies</w:t>
      </w:r>
    </w:p>
    <w:p w14:paraId="41BC9AF8" w14:textId="1C747B6C" w:rsidR="004F6C80" w:rsidRPr="00E951F4" w:rsidRDefault="004F6C80" w:rsidP="00E951F4">
      <w:pPr>
        <w:keepNext/>
        <w:keepLines/>
        <w:widowControl/>
        <w:spacing w:line="360" w:lineRule="auto"/>
        <w:ind w:firstLine="1440"/>
        <w:contextualSpacing/>
        <w:rPr>
          <w:sz w:val="26"/>
          <w:szCs w:val="26"/>
        </w:rPr>
      </w:pPr>
      <w:r w:rsidRPr="00E951F4">
        <w:rPr>
          <w:sz w:val="26"/>
          <w:szCs w:val="26"/>
        </w:rPr>
        <w:t xml:space="preserve"> </w:t>
      </w:r>
    </w:p>
    <w:p w14:paraId="40A85BAC" w14:textId="1A39736B" w:rsidR="00FA385E" w:rsidRPr="00E951F4" w:rsidRDefault="00A21D4C" w:rsidP="00E951F4">
      <w:pPr>
        <w:keepNext/>
        <w:widowControl/>
        <w:kinsoku w:val="0"/>
        <w:overflowPunct w:val="0"/>
        <w:spacing w:line="360" w:lineRule="auto"/>
        <w:ind w:right="72" w:firstLine="1440"/>
        <w:textAlignment w:val="baseline"/>
        <w:rPr>
          <w:sz w:val="26"/>
          <w:szCs w:val="26"/>
        </w:rPr>
      </w:pPr>
      <w:r w:rsidRPr="00E951F4">
        <w:rPr>
          <w:sz w:val="26"/>
          <w:szCs w:val="26"/>
        </w:rPr>
        <w:t xml:space="preserve">In </w:t>
      </w:r>
      <w:r w:rsidR="00DD13A6" w:rsidRPr="00E951F4">
        <w:rPr>
          <w:sz w:val="26"/>
          <w:szCs w:val="26"/>
        </w:rPr>
        <w:t>its Replies</w:t>
      </w:r>
      <w:r w:rsidR="00D31267" w:rsidRPr="00E951F4">
        <w:rPr>
          <w:sz w:val="26"/>
          <w:szCs w:val="26"/>
        </w:rPr>
        <w:t xml:space="preserve">, Duquesne Light states that </w:t>
      </w:r>
      <w:r w:rsidR="00C04971" w:rsidRPr="00E951F4">
        <w:rPr>
          <w:sz w:val="26"/>
          <w:szCs w:val="26"/>
        </w:rPr>
        <w:t>the ALJ’s decision is sound</w:t>
      </w:r>
      <w:r w:rsidR="00770ED3" w:rsidRPr="00E951F4">
        <w:rPr>
          <w:sz w:val="26"/>
          <w:szCs w:val="26"/>
        </w:rPr>
        <w:t xml:space="preserve"> and should be adopted</w:t>
      </w:r>
      <w:r w:rsidR="00C04971" w:rsidRPr="00E951F4">
        <w:rPr>
          <w:sz w:val="26"/>
          <w:szCs w:val="26"/>
        </w:rPr>
        <w:t>.</w:t>
      </w:r>
      <w:r w:rsidR="00D31267" w:rsidRPr="00E951F4">
        <w:rPr>
          <w:sz w:val="26"/>
          <w:szCs w:val="26"/>
        </w:rPr>
        <w:t xml:space="preserve"> </w:t>
      </w:r>
      <w:r w:rsidR="00C04971" w:rsidRPr="00E951F4">
        <w:rPr>
          <w:sz w:val="26"/>
          <w:szCs w:val="26"/>
        </w:rPr>
        <w:t xml:space="preserve"> </w:t>
      </w:r>
      <w:r w:rsidR="00390A38" w:rsidRPr="00E951F4">
        <w:rPr>
          <w:sz w:val="26"/>
          <w:szCs w:val="26"/>
        </w:rPr>
        <w:t xml:space="preserve">Duquesne Light R. Exc. at 7.  </w:t>
      </w:r>
      <w:r w:rsidR="00C04971" w:rsidRPr="00E951F4">
        <w:rPr>
          <w:sz w:val="26"/>
          <w:szCs w:val="26"/>
        </w:rPr>
        <w:t xml:space="preserve">Duquesne Light explains that </w:t>
      </w:r>
      <w:r w:rsidR="00F14E44" w:rsidRPr="00E951F4">
        <w:rPr>
          <w:sz w:val="26"/>
          <w:szCs w:val="26"/>
        </w:rPr>
        <w:t>t</w:t>
      </w:r>
      <w:r w:rsidR="009D33E4" w:rsidRPr="00E951F4">
        <w:rPr>
          <w:sz w:val="26"/>
          <w:szCs w:val="26"/>
        </w:rPr>
        <w:t xml:space="preserve">he ALJ </w:t>
      </w:r>
      <w:r w:rsidR="00F14E44" w:rsidRPr="00E951F4">
        <w:rPr>
          <w:sz w:val="26"/>
          <w:szCs w:val="26"/>
        </w:rPr>
        <w:t>referred to</w:t>
      </w:r>
      <w:r w:rsidR="009D33E4" w:rsidRPr="00E951F4">
        <w:rPr>
          <w:sz w:val="26"/>
          <w:szCs w:val="26"/>
        </w:rPr>
        <w:t xml:space="preserve"> the Commission</w:t>
      </w:r>
      <w:r w:rsidR="004733E6" w:rsidRPr="00E951F4">
        <w:rPr>
          <w:sz w:val="26"/>
          <w:szCs w:val="26"/>
        </w:rPr>
        <w:t>’</w:t>
      </w:r>
      <w:r w:rsidR="009D33E4" w:rsidRPr="00E951F4">
        <w:rPr>
          <w:sz w:val="26"/>
          <w:szCs w:val="26"/>
        </w:rPr>
        <w:t xml:space="preserve">s </w:t>
      </w:r>
      <w:r w:rsidR="009D33E4" w:rsidRPr="00E951F4">
        <w:rPr>
          <w:i/>
          <w:iCs/>
          <w:sz w:val="26"/>
          <w:szCs w:val="26"/>
        </w:rPr>
        <w:t>January 23, 2020 Secretarial Letter</w:t>
      </w:r>
      <w:r w:rsidR="004733E6" w:rsidRPr="00E951F4">
        <w:rPr>
          <w:sz w:val="26"/>
          <w:szCs w:val="26"/>
        </w:rPr>
        <w:t>,</w:t>
      </w:r>
      <w:r w:rsidR="009D33E4" w:rsidRPr="00E951F4">
        <w:rPr>
          <w:sz w:val="26"/>
          <w:szCs w:val="26"/>
        </w:rPr>
        <w:t xml:space="preserve"> </w:t>
      </w:r>
      <w:r w:rsidR="004733E6" w:rsidRPr="00E951F4">
        <w:rPr>
          <w:sz w:val="26"/>
          <w:szCs w:val="26"/>
        </w:rPr>
        <w:t xml:space="preserve">which </w:t>
      </w:r>
      <w:r w:rsidR="009D33E4" w:rsidRPr="00E951F4">
        <w:rPr>
          <w:sz w:val="26"/>
          <w:szCs w:val="26"/>
        </w:rPr>
        <w:t xml:space="preserve">specifically concluded that </w:t>
      </w:r>
      <w:r w:rsidR="005C6148" w:rsidRPr="00E951F4">
        <w:rPr>
          <w:sz w:val="26"/>
          <w:szCs w:val="26"/>
        </w:rPr>
        <w:t xml:space="preserve">the </w:t>
      </w:r>
      <w:r w:rsidR="009D33E4" w:rsidRPr="00E951F4">
        <w:rPr>
          <w:sz w:val="26"/>
          <w:szCs w:val="26"/>
        </w:rPr>
        <w:t xml:space="preserve">default supplier </w:t>
      </w:r>
      <w:r w:rsidR="004733E6" w:rsidRPr="00E951F4">
        <w:rPr>
          <w:sz w:val="26"/>
          <w:szCs w:val="26"/>
        </w:rPr>
        <w:t xml:space="preserve">is obligated </w:t>
      </w:r>
      <w:r w:rsidR="009D33E4" w:rsidRPr="00E951F4">
        <w:rPr>
          <w:sz w:val="26"/>
          <w:szCs w:val="26"/>
        </w:rPr>
        <w:t>to provide TOU service and</w:t>
      </w:r>
      <w:r w:rsidR="004733E6" w:rsidRPr="00E951F4">
        <w:rPr>
          <w:sz w:val="26"/>
          <w:szCs w:val="26"/>
        </w:rPr>
        <w:t xml:space="preserve"> </w:t>
      </w:r>
      <w:r w:rsidR="009D33E4" w:rsidRPr="00E951F4">
        <w:rPr>
          <w:sz w:val="26"/>
          <w:szCs w:val="26"/>
        </w:rPr>
        <w:t xml:space="preserve">that the record in this proceeding demonstrated that no EGS is providing </w:t>
      </w:r>
      <w:r w:rsidR="00390A38" w:rsidRPr="00E951F4">
        <w:rPr>
          <w:sz w:val="26"/>
          <w:szCs w:val="26"/>
        </w:rPr>
        <w:t xml:space="preserve">EV-TOU </w:t>
      </w:r>
      <w:r w:rsidR="009D33E4" w:rsidRPr="00E951F4">
        <w:rPr>
          <w:sz w:val="26"/>
          <w:szCs w:val="26"/>
        </w:rPr>
        <w:t>service</w:t>
      </w:r>
      <w:r w:rsidR="00390A38" w:rsidRPr="00E951F4">
        <w:rPr>
          <w:sz w:val="26"/>
          <w:szCs w:val="26"/>
        </w:rPr>
        <w:t xml:space="preserve">.  </w:t>
      </w:r>
      <w:r w:rsidR="00390A38" w:rsidRPr="00E951F4">
        <w:rPr>
          <w:i/>
          <w:iCs/>
          <w:sz w:val="26"/>
          <w:szCs w:val="26"/>
        </w:rPr>
        <w:t>Id</w:t>
      </w:r>
      <w:r w:rsidR="00390A38" w:rsidRPr="00E951F4">
        <w:rPr>
          <w:sz w:val="26"/>
          <w:szCs w:val="26"/>
        </w:rPr>
        <w:t>. at</w:t>
      </w:r>
      <w:r w:rsidR="00A13CAC">
        <w:rPr>
          <w:sz w:val="26"/>
          <w:szCs w:val="26"/>
        </w:rPr>
        <w:t> </w:t>
      </w:r>
      <w:r w:rsidR="00390A38" w:rsidRPr="00E951F4">
        <w:rPr>
          <w:sz w:val="26"/>
          <w:szCs w:val="26"/>
        </w:rPr>
        <w:t xml:space="preserve">7-8 (citing R.D. at </w:t>
      </w:r>
      <w:r w:rsidR="00770ED3" w:rsidRPr="00E951F4">
        <w:rPr>
          <w:sz w:val="26"/>
          <w:szCs w:val="26"/>
        </w:rPr>
        <w:t xml:space="preserve">10).  </w:t>
      </w:r>
      <w:r w:rsidR="00714BD3" w:rsidRPr="00E951F4">
        <w:rPr>
          <w:sz w:val="26"/>
          <w:szCs w:val="26"/>
        </w:rPr>
        <w:t xml:space="preserve">Duquesne Light </w:t>
      </w:r>
      <w:r w:rsidR="005E4764" w:rsidRPr="00E951F4">
        <w:rPr>
          <w:sz w:val="26"/>
          <w:szCs w:val="26"/>
        </w:rPr>
        <w:t>also avers that</w:t>
      </w:r>
      <w:r w:rsidR="00714BD3" w:rsidRPr="00E951F4">
        <w:rPr>
          <w:sz w:val="26"/>
          <w:szCs w:val="26"/>
        </w:rPr>
        <w:t xml:space="preserve"> </w:t>
      </w:r>
      <w:r w:rsidR="005E4764" w:rsidRPr="00E951F4">
        <w:rPr>
          <w:sz w:val="26"/>
          <w:szCs w:val="26"/>
        </w:rPr>
        <w:t>t</w:t>
      </w:r>
      <w:r w:rsidR="00FA385E" w:rsidRPr="00E951F4">
        <w:rPr>
          <w:sz w:val="26"/>
          <w:szCs w:val="26"/>
        </w:rPr>
        <w:t xml:space="preserve">he EGS Parties </w:t>
      </w:r>
      <w:r w:rsidR="005E4764" w:rsidRPr="00E951F4">
        <w:rPr>
          <w:sz w:val="26"/>
          <w:szCs w:val="26"/>
        </w:rPr>
        <w:t xml:space="preserve">raised </w:t>
      </w:r>
      <w:r w:rsidR="00FA385E" w:rsidRPr="00E951F4">
        <w:rPr>
          <w:sz w:val="26"/>
          <w:szCs w:val="26"/>
        </w:rPr>
        <w:t xml:space="preserve">in </w:t>
      </w:r>
      <w:r w:rsidR="001163AB" w:rsidRPr="00E951F4">
        <w:rPr>
          <w:sz w:val="26"/>
          <w:szCs w:val="26"/>
        </w:rPr>
        <w:t xml:space="preserve">their </w:t>
      </w:r>
      <w:r w:rsidR="00FA385E" w:rsidRPr="00E951F4">
        <w:rPr>
          <w:sz w:val="26"/>
          <w:szCs w:val="26"/>
        </w:rPr>
        <w:t xml:space="preserve">Exceptions for the first time that the EV-TOU Pilot </w:t>
      </w:r>
      <w:r w:rsidR="001163AB" w:rsidRPr="00E951F4">
        <w:rPr>
          <w:sz w:val="26"/>
          <w:szCs w:val="26"/>
        </w:rPr>
        <w:t xml:space="preserve">is </w:t>
      </w:r>
      <w:r w:rsidR="00FA385E" w:rsidRPr="00E951F4">
        <w:rPr>
          <w:sz w:val="26"/>
          <w:szCs w:val="26"/>
        </w:rPr>
        <w:t xml:space="preserve">a demand management rate that can only be provided </w:t>
      </w:r>
      <w:r w:rsidR="001163AB" w:rsidRPr="00E951F4">
        <w:rPr>
          <w:sz w:val="26"/>
          <w:szCs w:val="26"/>
        </w:rPr>
        <w:t xml:space="preserve">through </w:t>
      </w:r>
      <w:r w:rsidR="00FA385E" w:rsidRPr="00E951F4">
        <w:rPr>
          <w:sz w:val="26"/>
          <w:szCs w:val="26"/>
        </w:rPr>
        <w:t>Commission</w:t>
      </w:r>
      <w:r w:rsidR="001163AB" w:rsidRPr="00E951F4">
        <w:rPr>
          <w:sz w:val="26"/>
          <w:szCs w:val="26"/>
        </w:rPr>
        <w:t xml:space="preserve"> approval</w:t>
      </w:r>
      <w:r w:rsidR="00FA385E" w:rsidRPr="00E951F4">
        <w:rPr>
          <w:sz w:val="26"/>
          <w:szCs w:val="26"/>
        </w:rPr>
        <w:t xml:space="preserve">. </w:t>
      </w:r>
      <w:r w:rsidR="00C85A45" w:rsidRPr="00E951F4">
        <w:rPr>
          <w:sz w:val="26"/>
          <w:szCs w:val="26"/>
        </w:rPr>
        <w:t xml:space="preserve"> Duquesne Light asserts that t</w:t>
      </w:r>
      <w:r w:rsidR="00FA385E" w:rsidRPr="00E951F4">
        <w:rPr>
          <w:sz w:val="26"/>
          <w:szCs w:val="26"/>
        </w:rPr>
        <w:t>he EV-TOU Rate Pilot is not a demand management rate but is a rate for time of use service</w:t>
      </w:r>
      <w:r w:rsidR="00C85A45" w:rsidRPr="00E951F4">
        <w:rPr>
          <w:sz w:val="26"/>
          <w:szCs w:val="26"/>
        </w:rPr>
        <w:t>, and e</w:t>
      </w:r>
      <w:r w:rsidR="00FA385E" w:rsidRPr="00E951F4">
        <w:rPr>
          <w:sz w:val="26"/>
          <w:szCs w:val="26"/>
        </w:rPr>
        <w:t>ven if it were a demand management rate, the Commission can grant the approval requested in this proceeding.</w:t>
      </w:r>
      <w:r w:rsidR="00B74890" w:rsidRPr="00E951F4">
        <w:rPr>
          <w:sz w:val="26"/>
          <w:szCs w:val="26"/>
        </w:rPr>
        <w:t xml:space="preserve">  </w:t>
      </w:r>
      <w:r w:rsidR="00005E45" w:rsidRPr="00E951F4">
        <w:rPr>
          <w:sz w:val="26"/>
          <w:szCs w:val="26"/>
        </w:rPr>
        <w:t xml:space="preserve">Duquesne Light R. Exc. at </w:t>
      </w:r>
      <w:r w:rsidR="00CB52D3" w:rsidRPr="00E951F4">
        <w:rPr>
          <w:sz w:val="26"/>
          <w:szCs w:val="26"/>
        </w:rPr>
        <w:t xml:space="preserve">8 n.9.  </w:t>
      </w:r>
      <w:r w:rsidR="00DD13A6" w:rsidRPr="00E951F4">
        <w:rPr>
          <w:sz w:val="26"/>
          <w:szCs w:val="26"/>
        </w:rPr>
        <w:t>In response</w:t>
      </w:r>
      <w:r w:rsidR="000C356C" w:rsidRPr="00E951F4">
        <w:rPr>
          <w:sz w:val="26"/>
          <w:szCs w:val="26"/>
        </w:rPr>
        <w:t xml:space="preserve"> to the EGS Parties’ argument that </w:t>
      </w:r>
      <w:r w:rsidR="00FA385E" w:rsidRPr="00E951F4">
        <w:rPr>
          <w:sz w:val="26"/>
          <w:szCs w:val="26"/>
        </w:rPr>
        <w:t>the Commission</w:t>
      </w:r>
      <w:r w:rsidR="000C356C" w:rsidRPr="00E951F4">
        <w:rPr>
          <w:sz w:val="26"/>
          <w:szCs w:val="26"/>
        </w:rPr>
        <w:t>’</w:t>
      </w:r>
      <w:r w:rsidR="00FA385E" w:rsidRPr="00E951F4">
        <w:rPr>
          <w:sz w:val="26"/>
          <w:szCs w:val="26"/>
        </w:rPr>
        <w:t xml:space="preserve">s </w:t>
      </w:r>
      <w:r w:rsidR="00296548" w:rsidRPr="00E951F4">
        <w:rPr>
          <w:sz w:val="26"/>
          <w:szCs w:val="26"/>
        </w:rPr>
        <w:t>R</w:t>
      </w:r>
      <w:r w:rsidR="00FA385E" w:rsidRPr="00E951F4">
        <w:rPr>
          <w:sz w:val="26"/>
          <w:szCs w:val="26"/>
        </w:rPr>
        <w:t>egulations require a single rate offering</w:t>
      </w:r>
      <w:r w:rsidR="00DD13A6" w:rsidRPr="00E951F4">
        <w:rPr>
          <w:sz w:val="26"/>
          <w:szCs w:val="26"/>
        </w:rPr>
        <w:t>, Duquesne Light argues</w:t>
      </w:r>
      <w:r w:rsidR="00296548" w:rsidRPr="00E951F4">
        <w:rPr>
          <w:sz w:val="26"/>
          <w:szCs w:val="26"/>
        </w:rPr>
        <w:t xml:space="preserve"> </w:t>
      </w:r>
      <w:r w:rsidR="00C43858" w:rsidRPr="00E951F4">
        <w:rPr>
          <w:sz w:val="26"/>
          <w:szCs w:val="26"/>
        </w:rPr>
        <w:t xml:space="preserve">that the Commission’s Regulations </w:t>
      </w:r>
      <w:r w:rsidR="00FA385E" w:rsidRPr="00E951F4">
        <w:rPr>
          <w:sz w:val="26"/>
          <w:szCs w:val="26"/>
        </w:rPr>
        <w:t xml:space="preserve">cannot override the statutory obligation that the EDC provide TOU service. </w:t>
      </w:r>
      <w:r w:rsidR="007F2E77" w:rsidRPr="00E951F4">
        <w:rPr>
          <w:sz w:val="26"/>
          <w:szCs w:val="26"/>
        </w:rPr>
        <w:t xml:space="preserve"> </w:t>
      </w:r>
      <w:r w:rsidR="004F5741" w:rsidRPr="00E951F4">
        <w:rPr>
          <w:sz w:val="26"/>
          <w:szCs w:val="26"/>
        </w:rPr>
        <w:t xml:space="preserve">Further, </w:t>
      </w:r>
      <w:r w:rsidR="00C7247C" w:rsidRPr="00E951F4">
        <w:rPr>
          <w:sz w:val="26"/>
          <w:szCs w:val="26"/>
        </w:rPr>
        <w:t>Duquesne</w:t>
      </w:r>
      <w:r w:rsidR="004F5741" w:rsidRPr="00E951F4">
        <w:rPr>
          <w:sz w:val="26"/>
          <w:szCs w:val="26"/>
        </w:rPr>
        <w:t xml:space="preserve"> Light avers that t</w:t>
      </w:r>
      <w:r w:rsidR="00FA385E" w:rsidRPr="00E951F4">
        <w:rPr>
          <w:sz w:val="26"/>
          <w:szCs w:val="26"/>
        </w:rPr>
        <w:t xml:space="preserve">he EGS Parties </w:t>
      </w:r>
      <w:r w:rsidR="004F5741" w:rsidRPr="00E951F4">
        <w:rPr>
          <w:sz w:val="26"/>
          <w:szCs w:val="26"/>
        </w:rPr>
        <w:t>raise in Exceptions</w:t>
      </w:r>
      <w:r w:rsidR="00FA385E" w:rsidRPr="00E951F4">
        <w:rPr>
          <w:sz w:val="26"/>
          <w:szCs w:val="26"/>
        </w:rPr>
        <w:t>, for the first time in this proceeding, that the Commission</w:t>
      </w:r>
      <w:r w:rsidR="004F5741" w:rsidRPr="00E951F4">
        <w:rPr>
          <w:sz w:val="26"/>
          <w:szCs w:val="26"/>
        </w:rPr>
        <w:t>’</w:t>
      </w:r>
      <w:r w:rsidR="00FA385E" w:rsidRPr="00E951F4">
        <w:rPr>
          <w:sz w:val="26"/>
          <w:szCs w:val="26"/>
        </w:rPr>
        <w:t>s approval of the EV-TOU Rate Pilot can only be approved if the Commission mandates demand side management rates</w:t>
      </w:r>
      <w:r w:rsidR="00570A17" w:rsidRPr="00E951F4">
        <w:rPr>
          <w:sz w:val="26"/>
          <w:szCs w:val="26"/>
        </w:rPr>
        <w:t>,</w:t>
      </w:r>
      <w:r w:rsidR="00FA385E" w:rsidRPr="00E951F4">
        <w:rPr>
          <w:sz w:val="26"/>
          <w:szCs w:val="26"/>
        </w:rPr>
        <w:t xml:space="preserve"> citing the AEPS Act generally. </w:t>
      </w:r>
      <w:r w:rsidR="00570A17" w:rsidRPr="00E951F4">
        <w:rPr>
          <w:sz w:val="26"/>
          <w:szCs w:val="26"/>
        </w:rPr>
        <w:t xml:space="preserve"> </w:t>
      </w:r>
      <w:r w:rsidR="00C7247C" w:rsidRPr="00E951F4">
        <w:rPr>
          <w:sz w:val="26"/>
          <w:szCs w:val="26"/>
        </w:rPr>
        <w:t>Duquesne</w:t>
      </w:r>
      <w:r w:rsidR="00570A17" w:rsidRPr="00E951F4">
        <w:rPr>
          <w:sz w:val="26"/>
          <w:szCs w:val="26"/>
        </w:rPr>
        <w:t xml:space="preserve"> Light contends that t</w:t>
      </w:r>
      <w:r w:rsidR="00FA385E" w:rsidRPr="00E951F4">
        <w:rPr>
          <w:sz w:val="26"/>
          <w:szCs w:val="26"/>
        </w:rPr>
        <w:t>his unexplained and belated argument provides no basis to reverse the AL</w:t>
      </w:r>
      <w:r w:rsidR="00C43858" w:rsidRPr="00E951F4">
        <w:rPr>
          <w:sz w:val="26"/>
          <w:szCs w:val="26"/>
        </w:rPr>
        <w:t>J’s</w:t>
      </w:r>
      <w:r w:rsidR="00FA385E" w:rsidRPr="00E951F4">
        <w:rPr>
          <w:sz w:val="26"/>
          <w:szCs w:val="26"/>
        </w:rPr>
        <w:t xml:space="preserve"> conclusion that </w:t>
      </w:r>
      <w:r w:rsidR="00C43858" w:rsidRPr="00E951F4">
        <w:rPr>
          <w:sz w:val="26"/>
          <w:szCs w:val="26"/>
        </w:rPr>
        <w:t xml:space="preserve">the default supplier </w:t>
      </w:r>
      <w:r w:rsidR="00FA385E" w:rsidRPr="00E951F4">
        <w:rPr>
          <w:sz w:val="26"/>
          <w:szCs w:val="26"/>
        </w:rPr>
        <w:t xml:space="preserve">is </w:t>
      </w:r>
      <w:r w:rsidR="00C43858" w:rsidRPr="00E951F4">
        <w:rPr>
          <w:sz w:val="26"/>
          <w:szCs w:val="26"/>
        </w:rPr>
        <w:t>obligated to provide</w:t>
      </w:r>
      <w:r w:rsidR="00FA385E" w:rsidRPr="00E951F4">
        <w:rPr>
          <w:sz w:val="26"/>
          <w:szCs w:val="26"/>
        </w:rPr>
        <w:t xml:space="preserve"> TOU service.</w:t>
      </w:r>
      <w:r w:rsidR="0034541F" w:rsidRPr="00E951F4">
        <w:rPr>
          <w:sz w:val="26"/>
          <w:szCs w:val="26"/>
        </w:rPr>
        <w:t xml:space="preserve">  </w:t>
      </w:r>
      <w:r w:rsidR="0034541F" w:rsidRPr="00E951F4">
        <w:rPr>
          <w:i/>
          <w:iCs/>
          <w:sz w:val="26"/>
          <w:szCs w:val="26"/>
        </w:rPr>
        <w:t>Id</w:t>
      </w:r>
      <w:r w:rsidR="0034541F" w:rsidRPr="00E951F4">
        <w:rPr>
          <w:sz w:val="26"/>
          <w:szCs w:val="26"/>
        </w:rPr>
        <w:t>. at 8</w:t>
      </w:r>
      <w:r w:rsidR="00D939E8" w:rsidRPr="00E951F4">
        <w:rPr>
          <w:sz w:val="26"/>
          <w:szCs w:val="26"/>
        </w:rPr>
        <w:t>,</w:t>
      </w:r>
      <w:r w:rsidR="0034541F" w:rsidRPr="00E951F4">
        <w:rPr>
          <w:sz w:val="26"/>
          <w:szCs w:val="26"/>
        </w:rPr>
        <w:t xml:space="preserve"> n.10.</w:t>
      </w:r>
    </w:p>
    <w:p w14:paraId="2F544B3F" w14:textId="77777777" w:rsidR="00CF5F33" w:rsidRPr="00E951F4" w:rsidRDefault="00CF5F33" w:rsidP="00E951F4">
      <w:pPr>
        <w:widowControl/>
        <w:kinsoku w:val="0"/>
        <w:overflowPunct w:val="0"/>
        <w:spacing w:line="360" w:lineRule="auto"/>
        <w:ind w:right="72" w:firstLine="1440"/>
        <w:textAlignment w:val="baseline"/>
        <w:rPr>
          <w:sz w:val="26"/>
          <w:szCs w:val="26"/>
        </w:rPr>
      </w:pPr>
    </w:p>
    <w:p w14:paraId="0896E73D" w14:textId="0C0BFAB3" w:rsidR="009D33E4" w:rsidRPr="00E951F4" w:rsidRDefault="00770ED3" w:rsidP="00E951F4">
      <w:pPr>
        <w:widowControl/>
        <w:kinsoku w:val="0"/>
        <w:overflowPunct w:val="0"/>
        <w:spacing w:line="360" w:lineRule="auto"/>
        <w:ind w:firstLine="1440"/>
        <w:textAlignment w:val="baseline"/>
        <w:rPr>
          <w:sz w:val="26"/>
          <w:szCs w:val="26"/>
        </w:rPr>
      </w:pPr>
      <w:r w:rsidRPr="00E951F4">
        <w:rPr>
          <w:sz w:val="26"/>
          <w:szCs w:val="26"/>
        </w:rPr>
        <w:t xml:space="preserve">Duquesne Light also </w:t>
      </w:r>
      <w:r w:rsidR="00E82043" w:rsidRPr="00E951F4">
        <w:rPr>
          <w:sz w:val="26"/>
          <w:szCs w:val="26"/>
        </w:rPr>
        <w:t xml:space="preserve">argues that the EGS Parties’ position that the </w:t>
      </w:r>
      <w:r w:rsidR="009D33E4" w:rsidRPr="00E951F4">
        <w:rPr>
          <w:sz w:val="26"/>
          <w:szCs w:val="26"/>
        </w:rPr>
        <w:t xml:space="preserve">EV-TOU Rate Pilot would improperly compete with potential </w:t>
      </w:r>
      <w:r w:rsidR="00E82772" w:rsidRPr="00E951F4">
        <w:rPr>
          <w:sz w:val="26"/>
          <w:szCs w:val="26"/>
        </w:rPr>
        <w:t xml:space="preserve">EGS </w:t>
      </w:r>
      <w:r w:rsidR="009D33E4" w:rsidRPr="00E951F4">
        <w:rPr>
          <w:sz w:val="26"/>
          <w:szCs w:val="26"/>
        </w:rPr>
        <w:t xml:space="preserve">services </w:t>
      </w:r>
      <w:r w:rsidR="00E82772" w:rsidRPr="00E951F4">
        <w:rPr>
          <w:sz w:val="26"/>
          <w:szCs w:val="26"/>
        </w:rPr>
        <w:t>and</w:t>
      </w:r>
      <w:r w:rsidR="009D33E4" w:rsidRPr="00E951F4">
        <w:rPr>
          <w:sz w:val="26"/>
          <w:szCs w:val="26"/>
        </w:rPr>
        <w:t xml:space="preserve"> prevent EGSs from entering the market</w:t>
      </w:r>
      <w:r w:rsidR="00E82772" w:rsidRPr="00E951F4">
        <w:rPr>
          <w:sz w:val="26"/>
          <w:szCs w:val="26"/>
        </w:rPr>
        <w:t xml:space="preserve"> is flawed</w:t>
      </w:r>
      <w:r w:rsidR="009D33E4" w:rsidRPr="00E951F4">
        <w:rPr>
          <w:sz w:val="26"/>
          <w:szCs w:val="26"/>
        </w:rPr>
        <w:t xml:space="preserve">. </w:t>
      </w:r>
      <w:r w:rsidR="00E82772" w:rsidRPr="00E951F4">
        <w:rPr>
          <w:sz w:val="26"/>
          <w:szCs w:val="26"/>
        </w:rPr>
        <w:t xml:space="preserve"> </w:t>
      </w:r>
      <w:r w:rsidR="009D33E4" w:rsidRPr="00E951F4">
        <w:rPr>
          <w:sz w:val="26"/>
          <w:szCs w:val="26"/>
        </w:rPr>
        <w:t xml:space="preserve">The Company </w:t>
      </w:r>
      <w:r w:rsidR="00E82772" w:rsidRPr="00E951F4">
        <w:rPr>
          <w:sz w:val="26"/>
          <w:szCs w:val="26"/>
        </w:rPr>
        <w:t xml:space="preserve">avers that it </w:t>
      </w:r>
      <w:r w:rsidR="009D33E4" w:rsidRPr="00E951F4">
        <w:rPr>
          <w:sz w:val="26"/>
          <w:szCs w:val="26"/>
        </w:rPr>
        <w:t>has no incentive to compete with EGSs, and EGSs are free to offer EV-TOU or any other TOU service and offer alternative terms</w:t>
      </w:r>
      <w:r w:rsidR="004E059C" w:rsidRPr="00E951F4">
        <w:rPr>
          <w:sz w:val="26"/>
          <w:szCs w:val="26"/>
        </w:rPr>
        <w:t>,</w:t>
      </w:r>
      <w:r w:rsidR="009D33E4" w:rsidRPr="00E951F4">
        <w:rPr>
          <w:sz w:val="26"/>
          <w:szCs w:val="26"/>
        </w:rPr>
        <w:t xml:space="preserve"> including different on/off peak rates and time periods than the Company. </w:t>
      </w:r>
      <w:r w:rsidR="004E059C" w:rsidRPr="00E951F4">
        <w:rPr>
          <w:sz w:val="26"/>
          <w:szCs w:val="26"/>
        </w:rPr>
        <w:t xml:space="preserve"> </w:t>
      </w:r>
      <w:r w:rsidR="00242A84" w:rsidRPr="00E951F4">
        <w:rPr>
          <w:i/>
          <w:iCs/>
          <w:sz w:val="26"/>
          <w:szCs w:val="26"/>
        </w:rPr>
        <w:t>Id</w:t>
      </w:r>
      <w:r w:rsidR="00242A84" w:rsidRPr="00E951F4">
        <w:rPr>
          <w:sz w:val="26"/>
          <w:szCs w:val="26"/>
        </w:rPr>
        <w:t xml:space="preserve">. at 8.  </w:t>
      </w:r>
      <w:r w:rsidR="00D91327" w:rsidRPr="00E951F4">
        <w:rPr>
          <w:sz w:val="26"/>
          <w:szCs w:val="26"/>
        </w:rPr>
        <w:t>Duquesne Light believes that the EGS</w:t>
      </w:r>
      <w:r w:rsidR="00F138F6" w:rsidRPr="00E951F4">
        <w:rPr>
          <w:sz w:val="26"/>
          <w:szCs w:val="26"/>
        </w:rPr>
        <w:t xml:space="preserve"> Parties’ statement is </w:t>
      </w:r>
      <w:r w:rsidR="00F138F6" w:rsidRPr="00E951F4">
        <w:rPr>
          <w:sz w:val="26"/>
          <w:szCs w:val="26"/>
        </w:rPr>
        <w:lastRenderedPageBreak/>
        <w:t xml:space="preserve">speculative and </w:t>
      </w:r>
      <w:r w:rsidR="006B1302" w:rsidRPr="00E951F4">
        <w:rPr>
          <w:sz w:val="26"/>
          <w:szCs w:val="26"/>
        </w:rPr>
        <w:t xml:space="preserve">that </w:t>
      </w:r>
      <w:r w:rsidR="00F138F6" w:rsidRPr="00E951F4">
        <w:rPr>
          <w:sz w:val="26"/>
          <w:szCs w:val="26"/>
        </w:rPr>
        <w:t>they did not offer any evi</w:t>
      </w:r>
      <w:r w:rsidR="009D33E4" w:rsidRPr="00E951F4">
        <w:rPr>
          <w:sz w:val="26"/>
          <w:szCs w:val="26"/>
        </w:rPr>
        <w:t xml:space="preserve">dence </w:t>
      </w:r>
      <w:r w:rsidR="00F138F6" w:rsidRPr="00E951F4">
        <w:rPr>
          <w:sz w:val="26"/>
          <w:szCs w:val="26"/>
        </w:rPr>
        <w:t xml:space="preserve">in support of their argument, as </w:t>
      </w:r>
      <w:r w:rsidR="009D33E4" w:rsidRPr="00E951F4">
        <w:rPr>
          <w:sz w:val="26"/>
          <w:szCs w:val="26"/>
        </w:rPr>
        <w:t>EGSs will be able to offer EV-TOU supply on the same basis as they offer</w:t>
      </w:r>
      <w:r w:rsidR="00781F8C" w:rsidRPr="00E951F4">
        <w:rPr>
          <w:sz w:val="26"/>
          <w:szCs w:val="26"/>
        </w:rPr>
        <w:t xml:space="preserve"> o</w:t>
      </w:r>
      <w:r w:rsidR="009D33E4" w:rsidRPr="00E951F4">
        <w:rPr>
          <w:sz w:val="26"/>
          <w:szCs w:val="26"/>
        </w:rPr>
        <w:t xml:space="preserve">ther products as an alternative to default service. </w:t>
      </w:r>
      <w:r w:rsidR="00781F8C" w:rsidRPr="00E951F4">
        <w:rPr>
          <w:sz w:val="26"/>
          <w:szCs w:val="26"/>
        </w:rPr>
        <w:t xml:space="preserve"> </w:t>
      </w:r>
      <w:r w:rsidR="00781F8C" w:rsidRPr="00E951F4">
        <w:rPr>
          <w:i/>
          <w:iCs/>
          <w:sz w:val="26"/>
          <w:szCs w:val="26"/>
        </w:rPr>
        <w:t>Id</w:t>
      </w:r>
      <w:r w:rsidR="00781F8C" w:rsidRPr="00E951F4">
        <w:rPr>
          <w:sz w:val="26"/>
          <w:szCs w:val="26"/>
        </w:rPr>
        <w:t>. at 8-9.  T</w:t>
      </w:r>
      <w:r w:rsidR="009D33E4" w:rsidRPr="00E951F4">
        <w:rPr>
          <w:sz w:val="26"/>
          <w:szCs w:val="26"/>
        </w:rPr>
        <w:t xml:space="preserve">he Company </w:t>
      </w:r>
      <w:r w:rsidR="00781F8C" w:rsidRPr="00E951F4">
        <w:rPr>
          <w:sz w:val="26"/>
          <w:szCs w:val="26"/>
        </w:rPr>
        <w:t xml:space="preserve">notes that it </w:t>
      </w:r>
      <w:r w:rsidR="009D33E4" w:rsidRPr="00E951F4">
        <w:rPr>
          <w:sz w:val="26"/>
          <w:szCs w:val="26"/>
        </w:rPr>
        <w:t xml:space="preserve">explained its previous unbundling of procurement costs from base rates into default service rates </w:t>
      </w:r>
      <w:r w:rsidR="00DD13A6" w:rsidRPr="00E951F4">
        <w:rPr>
          <w:sz w:val="26"/>
          <w:szCs w:val="26"/>
        </w:rPr>
        <w:t xml:space="preserve">- </w:t>
      </w:r>
      <w:r w:rsidR="009D33E4" w:rsidRPr="00E951F4">
        <w:rPr>
          <w:sz w:val="26"/>
          <w:szCs w:val="26"/>
        </w:rPr>
        <w:t>in the Company</w:t>
      </w:r>
      <w:r w:rsidR="00137A49" w:rsidRPr="00E951F4">
        <w:rPr>
          <w:sz w:val="26"/>
          <w:szCs w:val="26"/>
        </w:rPr>
        <w:t>’</w:t>
      </w:r>
      <w:r w:rsidR="009D33E4" w:rsidRPr="00E951F4">
        <w:rPr>
          <w:sz w:val="26"/>
          <w:szCs w:val="26"/>
        </w:rPr>
        <w:t>s Exhibit</w:t>
      </w:r>
      <w:r w:rsidR="00137A49" w:rsidRPr="00E951F4">
        <w:rPr>
          <w:sz w:val="26"/>
          <w:szCs w:val="26"/>
        </w:rPr>
        <w:t>s</w:t>
      </w:r>
      <w:r w:rsidR="009D33E4" w:rsidRPr="00E951F4">
        <w:rPr>
          <w:sz w:val="26"/>
          <w:szCs w:val="26"/>
        </w:rPr>
        <w:t xml:space="preserve"> DBO-3 and DBO-5, unbundled procurement costs are included in the proposed EV-TOU rate, just as they are in designing other default service rates. </w:t>
      </w:r>
      <w:r w:rsidR="001049B2" w:rsidRPr="00E951F4">
        <w:rPr>
          <w:sz w:val="26"/>
          <w:szCs w:val="26"/>
        </w:rPr>
        <w:t xml:space="preserve"> </w:t>
      </w:r>
      <w:r w:rsidR="008576DC" w:rsidRPr="00E951F4">
        <w:rPr>
          <w:i/>
          <w:iCs/>
          <w:sz w:val="26"/>
          <w:szCs w:val="26"/>
        </w:rPr>
        <w:t>Id</w:t>
      </w:r>
      <w:r w:rsidR="008576DC" w:rsidRPr="00E951F4">
        <w:rPr>
          <w:sz w:val="26"/>
          <w:szCs w:val="26"/>
        </w:rPr>
        <w:t xml:space="preserve">. at 9 (citing </w:t>
      </w:r>
      <w:r w:rsidR="00F149E1" w:rsidRPr="00E951F4">
        <w:rPr>
          <w:sz w:val="26"/>
          <w:szCs w:val="26"/>
        </w:rPr>
        <w:t>Duquesne Light St. 4 at 17-18, 20; Duquesne Light Exhs. DBO-3, DBO-5).</w:t>
      </w:r>
    </w:p>
    <w:p w14:paraId="5106E2B1" w14:textId="77777777" w:rsidR="008576DC" w:rsidRPr="00E951F4" w:rsidRDefault="008576DC" w:rsidP="00E951F4">
      <w:pPr>
        <w:widowControl/>
        <w:kinsoku w:val="0"/>
        <w:overflowPunct w:val="0"/>
        <w:spacing w:line="360" w:lineRule="auto"/>
        <w:ind w:firstLine="720"/>
        <w:textAlignment w:val="baseline"/>
        <w:rPr>
          <w:sz w:val="26"/>
          <w:szCs w:val="26"/>
        </w:rPr>
      </w:pPr>
    </w:p>
    <w:p w14:paraId="2031D1EC" w14:textId="5F76E059" w:rsidR="009D33E4" w:rsidRPr="00E951F4" w:rsidRDefault="008576DC" w:rsidP="00E951F4">
      <w:pPr>
        <w:widowControl/>
        <w:kinsoku w:val="0"/>
        <w:overflowPunct w:val="0"/>
        <w:spacing w:line="360" w:lineRule="auto"/>
        <w:ind w:firstLine="1440"/>
        <w:textAlignment w:val="baseline"/>
        <w:rPr>
          <w:sz w:val="26"/>
          <w:szCs w:val="26"/>
        </w:rPr>
      </w:pPr>
      <w:r w:rsidRPr="00E951F4">
        <w:rPr>
          <w:sz w:val="26"/>
          <w:szCs w:val="26"/>
        </w:rPr>
        <w:t xml:space="preserve">Further, </w:t>
      </w:r>
      <w:r w:rsidR="00ED16A2" w:rsidRPr="00E951F4">
        <w:rPr>
          <w:sz w:val="26"/>
          <w:szCs w:val="26"/>
        </w:rPr>
        <w:t>in response to the</w:t>
      </w:r>
      <w:r w:rsidR="009D33E4" w:rsidRPr="00E951F4">
        <w:rPr>
          <w:sz w:val="26"/>
          <w:szCs w:val="26"/>
        </w:rPr>
        <w:t xml:space="preserve"> EGS Parties</w:t>
      </w:r>
      <w:r w:rsidR="00ED16A2" w:rsidRPr="00E951F4">
        <w:rPr>
          <w:sz w:val="26"/>
          <w:szCs w:val="26"/>
        </w:rPr>
        <w:t xml:space="preserve">’ argument </w:t>
      </w:r>
      <w:r w:rsidR="009D33E4" w:rsidRPr="00E951F4">
        <w:rPr>
          <w:sz w:val="26"/>
          <w:szCs w:val="26"/>
        </w:rPr>
        <w:t>that there is no current need for the EV-TOU Rate Pilot</w:t>
      </w:r>
      <w:r w:rsidR="00724CBD" w:rsidRPr="00E951F4">
        <w:rPr>
          <w:sz w:val="26"/>
          <w:szCs w:val="26"/>
        </w:rPr>
        <w:t xml:space="preserve">, </w:t>
      </w:r>
      <w:r w:rsidR="00DD13A6" w:rsidRPr="00E951F4">
        <w:rPr>
          <w:sz w:val="26"/>
          <w:szCs w:val="26"/>
        </w:rPr>
        <w:t>Duquesne</w:t>
      </w:r>
      <w:r w:rsidR="00724CBD" w:rsidRPr="00E951F4">
        <w:rPr>
          <w:sz w:val="26"/>
          <w:szCs w:val="26"/>
        </w:rPr>
        <w:t xml:space="preserve"> Light state</w:t>
      </w:r>
      <w:r w:rsidR="00952F7E" w:rsidRPr="00E951F4">
        <w:rPr>
          <w:sz w:val="26"/>
          <w:szCs w:val="26"/>
        </w:rPr>
        <w:t>s</w:t>
      </w:r>
      <w:r w:rsidR="00724CBD" w:rsidRPr="00E951F4">
        <w:rPr>
          <w:sz w:val="26"/>
          <w:szCs w:val="26"/>
        </w:rPr>
        <w:t xml:space="preserve"> that this argument </w:t>
      </w:r>
      <w:r w:rsidR="009D33E4" w:rsidRPr="00E951F4">
        <w:rPr>
          <w:sz w:val="26"/>
          <w:szCs w:val="26"/>
        </w:rPr>
        <w:t xml:space="preserve">is contrary to testimony from both the Company and NRDC </w:t>
      </w:r>
      <w:r w:rsidR="00B90711" w:rsidRPr="00E951F4">
        <w:rPr>
          <w:sz w:val="26"/>
          <w:szCs w:val="26"/>
        </w:rPr>
        <w:t xml:space="preserve">that </w:t>
      </w:r>
      <w:r w:rsidR="009D33E4" w:rsidRPr="00E951F4">
        <w:rPr>
          <w:sz w:val="26"/>
          <w:szCs w:val="26"/>
        </w:rPr>
        <w:t>demonstrat</w:t>
      </w:r>
      <w:r w:rsidR="00B90711" w:rsidRPr="00E951F4">
        <w:rPr>
          <w:sz w:val="26"/>
          <w:szCs w:val="26"/>
        </w:rPr>
        <w:t>es</w:t>
      </w:r>
      <w:r w:rsidR="009D33E4" w:rsidRPr="00E951F4">
        <w:rPr>
          <w:sz w:val="26"/>
          <w:szCs w:val="26"/>
        </w:rPr>
        <w:t xml:space="preserve"> the increasing actual and projected number of EVs in the Compan</w:t>
      </w:r>
      <w:r w:rsidR="000307D8" w:rsidRPr="00E951F4">
        <w:rPr>
          <w:sz w:val="26"/>
          <w:szCs w:val="26"/>
        </w:rPr>
        <w:t>y</w:t>
      </w:r>
      <w:r w:rsidR="00B90711" w:rsidRPr="00E951F4">
        <w:rPr>
          <w:sz w:val="26"/>
          <w:szCs w:val="26"/>
        </w:rPr>
        <w:t>’</w:t>
      </w:r>
      <w:r w:rsidR="000307D8" w:rsidRPr="00E951F4">
        <w:rPr>
          <w:sz w:val="26"/>
          <w:szCs w:val="26"/>
        </w:rPr>
        <w:t>s</w:t>
      </w:r>
      <w:r w:rsidR="009D33E4" w:rsidRPr="00E951F4">
        <w:rPr>
          <w:sz w:val="26"/>
          <w:szCs w:val="26"/>
        </w:rPr>
        <w:t xml:space="preserve"> service territor</w:t>
      </w:r>
      <w:r w:rsidR="00DD13A6" w:rsidRPr="00E951F4">
        <w:rPr>
          <w:sz w:val="26"/>
          <w:szCs w:val="26"/>
        </w:rPr>
        <w:t>y</w:t>
      </w:r>
      <w:r w:rsidR="009D33E4" w:rsidRPr="00E951F4">
        <w:rPr>
          <w:sz w:val="26"/>
          <w:szCs w:val="26"/>
        </w:rPr>
        <w:t xml:space="preserve">. </w:t>
      </w:r>
      <w:r w:rsidR="00B90711" w:rsidRPr="00E951F4">
        <w:rPr>
          <w:sz w:val="26"/>
          <w:szCs w:val="26"/>
        </w:rPr>
        <w:t xml:space="preserve"> Duquesne Light continues that t</w:t>
      </w:r>
      <w:r w:rsidR="009D33E4" w:rsidRPr="00E951F4">
        <w:rPr>
          <w:sz w:val="26"/>
          <w:szCs w:val="26"/>
        </w:rPr>
        <w:t>he testimony also explains the need for an EV-TOU rate to encourage EV adoption and to produce benefits to users, the Company, and its customers</w:t>
      </w:r>
      <w:r w:rsidR="000307D8" w:rsidRPr="00E951F4">
        <w:rPr>
          <w:sz w:val="26"/>
          <w:szCs w:val="26"/>
        </w:rPr>
        <w:t>,</w:t>
      </w:r>
      <w:r w:rsidR="009D33E4" w:rsidRPr="00E951F4">
        <w:rPr>
          <w:sz w:val="26"/>
          <w:szCs w:val="26"/>
        </w:rPr>
        <w:t xml:space="preserve"> resulting from greater off-peak use of its distribution grid and public benefit from environmental improvements.</w:t>
      </w:r>
      <w:r w:rsidR="00952F7E" w:rsidRPr="00E951F4">
        <w:rPr>
          <w:sz w:val="26"/>
          <w:szCs w:val="26"/>
        </w:rPr>
        <w:t xml:space="preserve">  Duquesne Light R. Exc. at 9 (citing Duquesne Light St. </w:t>
      </w:r>
      <w:r w:rsidR="00342B85" w:rsidRPr="00E951F4">
        <w:rPr>
          <w:sz w:val="26"/>
          <w:szCs w:val="26"/>
        </w:rPr>
        <w:t xml:space="preserve">5 at 20-22).  </w:t>
      </w:r>
      <w:r w:rsidR="009D33E4" w:rsidRPr="00E951F4">
        <w:rPr>
          <w:sz w:val="26"/>
          <w:szCs w:val="26"/>
        </w:rPr>
        <w:t xml:space="preserve"> </w:t>
      </w:r>
    </w:p>
    <w:p w14:paraId="268AF9E0" w14:textId="77777777" w:rsidR="00342B85" w:rsidRPr="00E951F4" w:rsidRDefault="00342B85" w:rsidP="00E951F4">
      <w:pPr>
        <w:widowControl/>
        <w:kinsoku w:val="0"/>
        <w:overflowPunct w:val="0"/>
        <w:spacing w:line="360" w:lineRule="auto"/>
        <w:ind w:firstLine="720"/>
        <w:textAlignment w:val="baseline"/>
        <w:rPr>
          <w:sz w:val="26"/>
          <w:szCs w:val="26"/>
        </w:rPr>
      </w:pPr>
    </w:p>
    <w:p w14:paraId="364E9041" w14:textId="02A1E1B2" w:rsidR="00EC3121" w:rsidRPr="00E951F4" w:rsidRDefault="009D33E4" w:rsidP="00E951F4">
      <w:pPr>
        <w:widowControl/>
        <w:kinsoku w:val="0"/>
        <w:overflowPunct w:val="0"/>
        <w:spacing w:line="360" w:lineRule="auto"/>
        <w:ind w:firstLine="1440"/>
        <w:textAlignment w:val="baseline"/>
        <w:rPr>
          <w:sz w:val="26"/>
          <w:szCs w:val="26"/>
        </w:rPr>
      </w:pPr>
      <w:r w:rsidRPr="00E951F4">
        <w:rPr>
          <w:sz w:val="26"/>
          <w:szCs w:val="26"/>
        </w:rPr>
        <w:t xml:space="preserve">Moreover, </w:t>
      </w:r>
      <w:r w:rsidR="00342B85" w:rsidRPr="00E951F4">
        <w:rPr>
          <w:sz w:val="26"/>
          <w:szCs w:val="26"/>
        </w:rPr>
        <w:t xml:space="preserve">Duquesne Light argues that the </w:t>
      </w:r>
      <w:r w:rsidRPr="00E951F4">
        <w:rPr>
          <w:sz w:val="26"/>
          <w:szCs w:val="26"/>
        </w:rPr>
        <w:t>EGS Parties</w:t>
      </w:r>
      <w:r w:rsidR="00342B85" w:rsidRPr="00E951F4">
        <w:rPr>
          <w:sz w:val="26"/>
          <w:szCs w:val="26"/>
        </w:rPr>
        <w:t>’ position</w:t>
      </w:r>
      <w:r w:rsidRPr="00E951F4">
        <w:rPr>
          <w:sz w:val="26"/>
          <w:szCs w:val="26"/>
        </w:rPr>
        <w:t>s disregard the Commission</w:t>
      </w:r>
      <w:r w:rsidR="00342B85" w:rsidRPr="00E951F4">
        <w:rPr>
          <w:sz w:val="26"/>
          <w:szCs w:val="26"/>
        </w:rPr>
        <w:t>’</w:t>
      </w:r>
      <w:r w:rsidRPr="00E951F4">
        <w:rPr>
          <w:sz w:val="26"/>
          <w:szCs w:val="26"/>
        </w:rPr>
        <w:t xml:space="preserve">s guidance in the </w:t>
      </w:r>
      <w:r w:rsidRPr="00E951F4">
        <w:rPr>
          <w:i/>
          <w:iCs/>
          <w:sz w:val="26"/>
          <w:szCs w:val="26"/>
        </w:rPr>
        <w:t>January 2020 Secretarial Letter</w:t>
      </w:r>
      <w:r w:rsidRPr="00E951F4">
        <w:rPr>
          <w:sz w:val="26"/>
          <w:szCs w:val="26"/>
        </w:rPr>
        <w:t xml:space="preserve">, which urged all </w:t>
      </w:r>
      <w:r w:rsidR="00DD13A6" w:rsidRPr="00E951F4">
        <w:rPr>
          <w:sz w:val="26"/>
          <w:szCs w:val="26"/>
        </w:rPr>
        <w:t xml:space="preserve">interested </w:t>
      </w:r>
      <w:r w:rsidRPr="00E951F4">
        <w:rPr>
          <w:sz w:val="26"/>
          <w:szCs w:val="26"/>
        </w:rPr>
        <w:t xml:space="preserve">parties to consider how specific TOU rate offerings could be made available to customers. </w:t>
      </w:r>
      <w:r w:rsidR="008214A6" w:rsidRPr="00E951F4">
        <w:rPr>
          <w:sz w:val="26"/>
          <w:szCs w:val="26"/>
        </w:rPr>
        <w:t xml:space="preserve"> </w:t>
      </w:r>
      <w:r w:rsidRPr="00E951F4">
        <w:rPr>
          <w:sz w:val="26"/>
          <w:szCs w:val="26"/>
        </w:rPr>
        <w:t xml:space="preserve">Duquesne Light </w:t>
      </w:r>
      <w:r w:rsidR="008214A6" w:rsidRPr="00E951F4">
        <w:rPr>
          <w:sz w:val="26"/>
          <w:szCs w:val="26"/>
        </w:rPr>
        <w:t xml:space="preserve">asserts that it </w:t>
      </w:r>
      <w:r w:rsidRPr="00E951F4">
        <w:rPr>
          <w:sz w:val="26"/>
          <w:szCs w:val="26"/>
        </w:rPr>
        <w:t>has</w:t>
      </w:r>
      <w:r w:rsidR="00DD13A6" w:rsidRPr="00E951F4">
        <w:rPr>
          <w:sz w:val="26"/>
          <w:szCs w:val="26"/>
        </w:rPr>
        <w:t xml:space="preserve"> directly</w:t>
      </w:r>
      <w:r w:rsidRPr="00E951F4">
        <w:rPr>
          <w:sz w:val="26"/>
          <w:szCs w:val="26"/>
        </w:rPr>
        <w:t xml:space="preserve"> responded </w:t>
      </w:r>
      <w:r w:rsidR="00DD13A6" w:rsidRPr="00E951F4">
        <w:rPr>
          <w:sz w:val="26"/>
          <w:szCs w:val="26"/>
        </w:rPr>
        <w:t xml:space="preserve">to the </w:t>
      </w:r>
      <w:r w:rsidR="00DD13A6" w:rsidRPr="00E951F4">
        <w:rPr>
          <w:i/>
          <w:iCs/>
          <w:sz w:val="26"/>
          <w:szCs w:val="26"/>
        </w:rPr>
        <w:t>January 2020 Secretarial Letter</w:t>
      </w:r>
      <w:r w:rsidR="00DD13A6" w:rsidRPr="00E951F4">
        <w:rPr>
          <w:sz w:val="26"/>
          <w:szCs w:val="26"/>
        </w:rPr>
        <w:t xml:space="preserve"> </w:t>
      </w:r>
      <w:r w:rsidRPr="00E951F4">
        <w:rPr>
          <w:sz w:val="26"/>
          <w:szCs w:val="26"/>
        </w:rPr>
        <w:t>with a specific rate proposal</w:t>
      </w:r>
      <w:r w:rsidR="00DD13A6" w:rsidRPr="00E951F4">
        <w:rPr>
          <w:sz w:val="26"/>
          <w:szCs w:val="26"/>
        </w:rPr>
        <w:t>.</w:t>
      </w:r>
      <w:r w:rsidR="00B536B0" w:rsidRPr="00E951F4">
        <w:rPr>
          <w:sz w:val="26"/>
          <w:szCs w:val="26"/>
        </w:rPr>
        <w:t xml:space="preserve"> </w:t>
      </w:r>
      <w:r w:rsidR="00DD13A6" w:rsidRPr="00E951F4">
        <w:rPr>
          <w:sz w:val="26"/>
          <w:szCs w:val="26"/>
        </w:rPr>
        <w:t>It further asserts that should the Commission</w:t>
      </w:r>
      <w:r w:rsidR="00B536B0" w:rsidRPr="00E951F4">
        <w:rPr>
          <w:sz w:val="26"/>
          <w:szCs w:val="26"/>
        </w:rPr>
        <w:t xml:space="preserve"> d</w:t>
      </w:r>
      <w:r w:rsidRPr="00E951F4">
        <w:rPr>
          <w:sz w:val="26"/>
          <w:szCs w:val="26"/>
        </w:rPr>
        <w:t xml:space="preserve">eny </w:t>
      </w:r>
      <w:r w:rsidR="00DD13A6" w:rsidRPr="00E951F4">
        <w:rPr>
          <w:sz w:val="26"/>
          <w:szCs w:val="26"/>
        </w:rPr>
        <w:t>its proposed</w:t>
      </w:r>
      <w:r w:rsidRPr="00E951F4">
        <w:rPr>
          <w:sz w:val="26"/>
          <w:szCs w:val="26"/>
        </w:rPr>
        <w:t xml:space="preserve"> EV-TOU Pilot</w:t>
      </w:r>
      <w:r w:rsidR="00DD13A6" w:rsidRPr="00E951F4">
        <w:rPr>
          <w:sz w:val="26"/>
          <w:szCs w:val="26"/>
        </w:rPr>
        <w:t>, as modified by the EV-TOU Stipulation,</w:t>
      </w:r>
      <w:r w:rsidRPr="00E951F4">
        <w:rPr>
          <w:sz w:val="26"/>
          <w:szCs w:val="26"/>
        </w:rPr>
        <w:t xml:space="preserve"> while waiting to see if EGSs decide to offer an EV-TOU rate, </w:t>
      </w:r>
      <w:r w:rsidR="00DD13A6" w:rsidRPr="00E951F4">
        <w:rPr>
          <w:sz w:val="26"/>
          <w:szCs w:val="26"/>
        </w:rPr>
        <w:t xml:space="preserve">such result </w:t>
      </w:r>
      <w:r w:rsidRPr="00E951F4">
        <w:rPr>
          <w:sz w:val="26"/>
          <w:szCs w:val="26"/>
        </w:rPr>
        <w:t>would harm the EV market and delay the benefits that EV expansion will produce for all customers and the public.</w:t>
      </w:r>
      <w:r w:rsidR="00B536B0" w:rsidRPr="00E951F4">
        <w:rPr>
          <w:sz w:val="26"/>
          <w:szCs w:val="26"/>
        </w:rPr>
        <w:t xml:space="preserve">  </w:t>
      </w:r>
      <w:r w:rsidR="004A16F7" w:rsidRPr="00E951F4">
        <w:rPr>
          <w:sz w:val="26"/>
          <w:szCs w:val="26"/>
        </w:rPr>
        <w:t>Duquesne Light R. Exc. at 9.</w:t>
      </w:r>
    </w:p>
    <w:p w14:paraId="61A21477" w14:textId="77777777" w:rsidR="00EC3121" w:rsidRPr="00E951F4" w:rsidRDefault="00EC3121" w:rsidP="00E951F4">
      <w:pPr>
        <w:widowControl/>
        <w:kinsoku w:val="0"/>
        <w:overflowPunct w:val="0"/>
        <w:spacing w:line="360" w:lineRule="auto"/>
        <w:textAlignment w:val="baseline"/>
        <w:rPr>
          <w:sz w:val="26"/>
          <w:szCs w:val="26"/>
        </w:rPr>
      </w:pPr>
    </w:p>
    <w:p w14:paraId="21BCF10A" w14:textId="175C19FF" w:rsidR="00C523FD" w:rsidRPr="00E951F4" w:rsidRDefault="00C523FD" w:rsidP="00A13CAC">
      <w:pPr>
        <w:keepNext/>
        <w:widowControl/>
        <w:kinsoku w:val="0"/>
        <w:overflowPunct w:val="0"/>
        <w:spacing w:line="360" w:lineRule="auto"/>
        <w:ind w:left="720" w:firstLine="720"/>
        <w:textAlignment w:val="baseline"/>
        <w:rPr>
          <w:sz w:val="26"/>
          <w:szCs w:val="26"/>
        </w:rPr>
      </w:pPr>
      <w:r w:rsidRPr="00E951F4">
        <w:rPr>
          <w:b/>
          <w:bCs/>
          <w:sz w:val="26"/>
          <w:szCs w:val="26"/>
        </w:rPr>
        <w:lastRenderedPageBreak/>
        <w:t>NRDC Replies</w:t>
      </w:r>
    </w:p>
    <w:p w14:paraId="2F9607FD" w14:textId="77777777" w:rsidR="00C523FD" w:rsidRPr="00E951F4" w:rsidRDefault="00C523FD" w:rsidP="00E951F4">
      <w:pPr>
        <w:keepNext/>
        <w:widowControl/>
        <w:kinsoku w:val="0"/>
        <w:overflowPunct w:val="0"/>
        <w:spacing w:line="360" w:lineRule="auto"/>
        <w:ind w:right="72" w:firstLine="1440"/>
        <w:textAlignment w:val="baseline"/>
        <w:rPr>
          <w:sz w:val="26"/>
          <w:szCs w:val="26"/>
        </w:rPr>
      </w:pPr>
    </w:p>
    <w:p w14:paraId="51C99A96" w14:textId="278F5DD4" w:rsidR="00814458" w:rsidRPr="00E951F4" w:rsidRDefault="00DB5596" w:rsidP="00E951F4">
      <w:pPr>
        <w:keepNext/>
        <w:widowControl/>
        <w:kinsoku w:val="0"/>
        <w:overflowPunct w:val="0"/>
        <w:spacing w:line="360" w:lineRule="auto"/>
        <w:ind w:right="72" w:firstLine="1440"/>
        <w:textAlignment w:val="baseline"/>
        <w:rPr>
          <w:sz w:val="26"/>
          <w:szCs w:val="26"/>
        </w:rPr>
      </w:pPr>
      <w:r w:rsidRPr="00E951F4">
        <w:rPr>
          <w:sz w:val="26"/>
          <w:szCs w:val="26"/>
        </w:rPr>
        <w:t xml:space="preserve">In its Replies to </w:t>
      </w:r>
      <w:r w:rsidR="00C47B6F" w:rsidRPr="00E951F4">
        <w:rPr>
          <w:sz w:val="26"/>
          <w:szCs w:val="26"/>
        </w:rPr>
        <w:t xml:space="preserve">the EGS Parties </w:t>
      </w:r>
      <w:r w:rsidR="00220871" w:rsidRPr="00E951F4">
        <w:rPr>
          <w:sz w:val="26"/>
          <w:szCs w:val="26"/>
        </w:rPr>
        <w:t>Exception</w:t>
      </w:r>
      <w:r w:rsidR="00C47B6F" w:rsidRPr="00E951F4">
        <w:rPr>
          <w:sz w:val="26"/>
          <w:szCs w:val="26"/>
        </w:rPr>
        <w:t xml:space="preserve"> No. 1</w:t>
      </w:r>
      <w:r w:rsidR="00220871" w:rsidRPr="00E951F4">
        <w:rPr>
          <w:sz w:val="26"/>
          <w:szCs w:val="26"/>
        </w:rPr>
        <w:t xml:space="preserve">, </w:t>
      </w:r>
      <w:r w:rsidR="00814458" w:rsidRPr="00E951F4">
        <w:rPr>
          <w:sz w:val="26"/>
          <w:szCs w:val="26"/>
        </w:rPr>
        <w:t xml:space="preserve">NRDC </w:t>
      </w:r>
      <w:r w:rsidR="00220871" w:rsidRPr="00E951F4">
        <w:rPr>
          <w:sz w:val="26"/>
          <w:szCs w:val="26"/>
        </w:rPr>
        <w:t xml:space="preserve">avers that the evidence and applicable law support adoption of </w:t>
      </w:r>
      <w:r w:rsidR="002369E0" w:rsidRPr="00E951F4">
        <w:rPr>
          <w:sz w:val="26"/>
          <w:szCs w:val="26"/>
        </w:rPr>
        <w:t xml:space="preserve">the Company’s proposed EV-TOU rate, as modified by </w:t>
      </w:r>
      <w:r w:rsidR="0024402C" w:rsidRPr="00E951F4">
        <w:rPr>
          <w:sz w:val="26"/>
          <w:szCs w:val="26"/>
        </w:rPr>
        <w:t xml:space="preserve">the EV-TOU Stipulation.  </w:t>
      </w:r>
      <w:r w:rsidR="00D21788" w:rsidRPr="00E951F4">
        <w:rPr>
          <w:sz w:val="26"/>
          <w:szCs w:val="26"/>
        </w:rPr>
        <w:t>NRDC R. Exc. at 2</w:t>
      </w:r>
      <w:r w:rsidR="0062682A" w:rsidRPr="00E951F4">
        <w:rPr>
          <w:sz w:val="26"/>
          <w:szCs w:val="26"/>
        </w:rPr>
        <w:t xml:space="preserve">.  </w:t>
      </w:r>
      <w:r w:rsidR="00185890" w:rsidRPr="00E951F4">
        <w:rPr>
          <w:sz w:val="26"/>
          <w:szCs w:val="26"/>
        </w:rPr>
        <w:t xml:space="preserve">NRDC </w:t>
      </w:r>
      <w:r w:rsidR="00B654AB" w:rsidRPr="00E951F4">
        <w:rPr>
          <w:sz w:val="26"/>
          <w:szCs w:val="26"/>
        </w:rPr>
        <w:t xml:space="preserve">cites to the ALJ’s </w:t>
      </w:r>
      <w:r w:rsidR="00814458" w:rsidRPr="00E951F4">
        <w:rPr>
          <w:sz w:val="26"/>
          <w:szCs w:val="26"/>
        </w:rPr>
        <w:t xml:space="preserve">Findings of Fact noting the benefits of the Company’s proposed EV-TOU </w:t>
      </w:r>
      <w:r w:rsidR="003765C4" w:rsidRPr="00E951F4">
        <w:rPr>
          <w:sz w:val="26"/>
          <w:szCs w:val="26"/>
        </w:rPr>
        <w:t>R</w:t>
      </w:r>
      <w:r w:rsidR="00814458" w:rsidRPr="00E951F4">
        <w:rPr>
          <w:sz w:val="26"/>
          <w:szCs w:val="26"/>
        </w:rPr>
        <w:t>ate to both participating customers and ratepayers.</w:t>
      </w:r>
      <w:r w:rsidR="0062682A" w:rsidRPr="00E951F4">
        <w:rPr>
          <w:sz w:val="26"/>
          <w:szCs w:val="26"/>
        </w:rPr>
        <w:t xml:space="preserve">  </w:t>
      </w:r>
      <w:r w:rsidR="0062682A" w:rsidRPr="00E951F4">
        <w:rPr>
          <w:i/>
          <w:iCs/>
          <w:sz w:val="26"/>
          <w:szCs w:val="26"/>
        </w:rPr>
        <w:t>Id</w:t>
      </w:r>
      <w:r w:rsidR="0062682A" w:rsidRPr="00E951F4">
        <w:rPr>
          <w:sz w:val="26"/>
          <w:szCs w:val="26"/>
        </w:rPr>
        <w:t xml:space="preserve">. (citing R.D. at 9-11).  NRDC specifically notes </w:t>
      </w:r>
      <w:r w:rsidR="00311F49" w:rsidRPr="00E951F4">
        <w:rPr>
          <w:sz w:val="26"/>
          <w:szCs w:val="26"/>
        </w:rPr>
        <w:t>the</w:t>
      </w:r>
      <w:r w:rsidR="0062682A" w:rsidRPr="00E951F4">
        <w:rPr>
          <w:sz w:val="26"/>
          <w:szCs w:val="26"/>
        </w:rPr>
        <w:t xml:space="preserve"> ALJ’s finding</w:t>
      </w:r>
      <w:r w:rsidR="000C34E4" w:rsidRPr="00E951F4">
        <w:rPr>
          <w:sz w:val="26"/>
          <w:szCs w:val="26"/>
        </w:rPr>
        <w:t>s</w:t>
      </w:r>
      <w:r w:rsidR="00814458" w:rsidRPr="00E951F4">
        <w:rPr>
          <w:sz w:val="26"/>
          <w:szCs w:val="26"/>
        </w:rPr>
        <w:t xml:space="preserve"> that the rate “has the potential to benefit EV customers by lowering the cost of owning and operating an EV”</w:t>
      </w:r>
      <w:r w:rsidR="00D06EBA" w:rsidRPr="00E951F4">
        <w:rPr>
          <w:sz w:val="26"/>
          <w:szCs w:val="26"/>
        </w:rPr>
        <w:t xml:space="preserve"> and that the rate will</w:t>
      </w:r>
      <w:r w:rsidR="00814458" w:rsidRPr="00E951F4">
        <w:rPr>
          <w:sz w:val="26"/>
          <w:szCs w:val="26"/>
        </w:rPr>
        <w:t xml:space="preserve"> “benefit Duquesne Light’s customers by increasing the usage of the Company’s existing electric grid during non-peak periods, thereby producing increased revenues</w:t>
      </w:r>
      <w:r w:rsidR="000C34E4" w:rsidRPr="00E951F4">
        <w:rPr>
          <w:sz w:val="26"/>
          <w:szCs w:val="26"/>
        </w:rPr>
        <w:t xml:space="preserve"> </w:t>
      </w:r>
      <w:r w:rsidR="00814458" w:rsidRPr="00E951F4">
        <w:rPr>
          <w:sz w:val="26"/>
          <w:szCs w:val="26"/>
        </w:rPr>
        <w:t>to offset existing grid costs and reducing the need to build new facilities to serve EV load.”</w:t>
      </w:r>
      <w:r w:rsidR="000C34E4" w:rsidRPr="00E951F4">
        <w:rPr>
          <w:sz w:val="26"/>
          <w:szCs w:val="26"/>
        </w:rPr>
        <w:t xml:space="preserve">  </w:t>
      </w:r>
      <w:r w:rsidR="00FD6605" w:rsidRPr="00E951F4">
        <w:rPr>
          <w:sz w:val="26"/>
          <w:szCs w:val="26"/>
        </w:rPr>
        <w:t>NRDC R. Exc. at 2-3 (citing R.D. at 9-10).</w:t>
      </w:r>
      <w:r w:rsidR="00814458" w:rsidRPr="00E951F4">
        <w:rPr>
          <w:sz w:val="26"/>
          <w:szCs w:val="26"/>
        </w:rPr>
        <w:t xml:space="preserve"> </w:t>
      </w:r>
      <w:r w:rsidR="00FD6605" w:rsidRPr="00E951F4">
        <w:rPr>
          <w:sz w:val="26"/>
          <w:szCs w:val="26"/>
        </w:rPr>
        <w:t xml:space="preserve"> </w:t>
      </w:r>
      <w:r w:rsidR="00F4761E" w:rsidRPr="00E951F4">
        <w:rPr>
          <w:sz w:val="26"/>
          <w:szCs w:val="26"/>
        </w:rPr>
        <w:t xml:space="preserve">NRDC also cites to the </w:t>
      </w:r>
      <w:r w:rsidR="00814458" w:rsidRPr="00E951F4">
        <w:rPr>
          <w:sz w:val="26"/>
          <w:szCs w:val="26"/>
        </w:rPr>
        <w:t>rate’s “potential to benefit the general public by reducing greenhouse gas (GHG) emissions.”</w:t>
      </w:r>
      <w:r w:rsidR="006F028E" w:rsidRPr="00E951F4">
        <w:rPr>
          <w:sz w:val="26"/>
          <w:szCs w:val="26"/>
        </w:rPr>
        <w:t xml:space="preserve">  NRDC</w:t>
      </w:r>
      <w:r w:rsidR="00814458" w:rsidRPr="00E951F4">
        <w:rPr>
          <w:sz w:val="26"/>
          <w:szCs w:val="26"/>
        </w:rPr>
        <w:t xml:space="preserve"> </w:t>
      </w:r>
      <w:r w:rsidR="006F028E" w:rsidRPr="00E951F4">
        <w:rPr>
          <w:sz w:val="26"/>
          <w:szCs w:val="26"/>
        </w:rPr>
        <w:t>R. Exc. at 3 (citing R.D. at</w:t>
      </w:r>
      <w:r w:rsidR="00691B03" w:rsidRPr="00E951F4">
        <w:rPr>
          <w:sz w:val="26"/>
          <w:szCs w:val="26"/>
        </w:rPr>
        <w:t> </w:t>
      </w:r>
      <w:r w:rsidR="00CE3605" w:rsidRPr="00E951F4">
        <w:rPr>
          <w:sz w:val="26"/>
          <w:szCs w:val="26"/>
        </w:rPr>
        <w:t xml:space="preserve">10).  </w:t>
      </w:r>
    </w:p>
    <w:p w14:paraId="5B70832A" w14:textId="77777777" w:rsidR="0052725B" w:rsidRPr="00E951F4" w:rsidRDefault="0052725B" w:rsidP="00E951F4">
      <w:pPr>
        <w:widowControl/>
        <w:kinsoku w:val="0"/>
        <w:overflowPunct w:val="0"/>
        <w:spacing w:line="360" w:lineRule="auto"/>
        <w:ind w:right="72" w:firstLine="1440"/>
        <w:textAlignment w:val="baseline"/>
        <w:rPr>
          <w:sz w:val="26"/>
          <w:szCs w:val="26"/>
        </w:rPr>
      </w:pPr>
    </w:p>
    <w:p w14:paraId="69F67BB6" w14:textId="61CB685A" w:rsidR="00814458" w:rsidRPr="00E951F4" w:rsidRDefault="00F875F6" w:rsidP="00E951F4">
      <w:pPr>
        <w:widowControl/>
        <w:kinsoku w:val="0"/>
        <w:overflowPunct w:val="0"/>
        <w:spacing w:line="360" w:lineRule="auto"/>
        <w:ind w:right="72" w:firstLine="1440"/>
        <w:textAlignment w:val="baseline"/>
        <w:rPr>
          <w:sz w:val="26"/>
          <w:szCs w:val="26"/>
        </w:rPr>
      </w:pPr>
      <w:r w:rsidRPr="00E951F4">
        <w:rPr>
          <w:sz w:val="26"/>
          <w:szCs w:val="26"/>
        </w:rPr>
        <w:t xml:space="preserve">In response to the EGS Parties’ </w:t>
      </w:r>
      <w:r w:rsidR="005C7DA3" w:rsidRPr="00E951F4">
        <w:rPr>
          <w:sz w:val="26"/>
          <w:szCs w:val="26"/>
        </w:rPr>
        <w:t>argument that Duquesne Ligh</w:t>
      </w:r>
      <w:r w:rsidR="005A3937" w:rsidRPr="00E951F4">
        <w:rPr>
          <w:sz w:val="26"/>
          <w:szCs w:val="26"/>
        </w:rPr>
        <w:t xml:space="preserve">t is acting like a competitor, rather than a supplier of last resort, </w:t>
      </w:r>
      <w:r w:rsidR="001F4555" w:rsidRPr="00E951F4">
        <w:rPr>
          <w:sz w:val="26"/>
          <w:szCs w:val="26"/>
        </w:rPr>
        <w:t>NRDC states that the EGS Parties do not acknowledge or dispute the considerable evidence to the contrary.</w:t>
      </w:r>
      <w:r w:rsidR="006F6518" w:rsidRPr="00E951F4">
        <w:rPr>
          <w:sz w:val="26"/>
          <w:szCs w:val="26"/>
        </w:rPr>
        <w:t xml:space="preserve">  </w:t>
      </w:r>
      <w:r w:rsidR="009C30BE" w:rsidRPr="00E951F4">
        <w:rPr>
          <w:sz w:val="26"/>
          <w:szCs w:val="26"/>
        </w:rPr>
        <w:t xml:space="preserve">NRDC R. Exc. at </w:t>
      </w:r>
      <w:r w:rsidR="005A7BD5" w:rsidRPr="00E951F4">
        <w:rPr>
          <w:sz w:val="26"/>
          <w:szCs w:val="26"/>
        </w:rPr>
        <w:t xml:space="preserve">3.  </w:t>
      </w:r>
      <w:r w:rsidR="006F6518" w:rsidRPr="00E951F4">
        <w:rPr>
          <w:sz w:val="26"/>
          <w:szCs w:val="26"/>
        </w:rPr>
        <w:t xml:space="preserve">NRDC </w:t>
      </w:r>
      <w:r w:rsidR="0068699A" w:rsidRPr="00E951F4">
        <w:rPr>
          <w:sz w:val="26"/>
          <w:szCs w:val="26"/>
        </w:rPr>
        <w:t xml:space="preserve">notes that in reliance on the </w:t>
      </w:r>
      <w:r w:rsidR="00814458" w:rsidRPr="00E951F4">
        <w:rPr>
          <w:sz w:val="26"/>
          <w:szCs w:val="26"/>
        </w:rPr>
        <w:t xml:space="preserve">Company’s testimony, </w:t>
      </w:r>
      <w:r w:rsidR="0068699A" w:rsidRPr="00E951F4">
        <w:rPr>
          <w:sz w:val="26"/>
          <w:szCs w:val="26"/>
        </w:rPr>
        <w:t xml:space="preserve">the ALJ found that </w:t>
      </w:r>
      <w:r w:rsidR="00814458" w:rsidRPr="00E951F4">
        <w:rPr>
          <w:sz w:val="26"/>
          <w:szCs w:val="26"/>
        </w:rPr>
        <w:t>the EV-TOU rate “does not prevent an EGS from designing and offering its own EV-TOU rates, including different on-peak and off-peak periods that may benefit specific customers.”</w:t>
      </w:r>
      <w:r w:rsidR="005A7BD5" w:rsidRPr="00E951F4">
        <w:rPr>
          <w:sz w:val="26"/>
          <w:szCs w:val="26"/>
        </w:rPr>
        <w:t xml:space="preserve">  </w:t>
      </w:r>
      <w:r w:rsidR="005A7BD5" w:rsidRPr="00E951F4">
        <w:rPr>
          <w:i/>
          <w:iCs/>
          <w:sz w:val="26"/>
          <w:szCs w:val="26"/>
        </w:rPr>
        <w:t>Id</w:t>
      </w:r>
      <w:r w:rsidR="005A7BD5" w:rsidRPr="00E951F4">
        <w:rPr>
          <w:sz w:val="26"/>
          <w:szCs w:val="26"/>
        </w:rPr>
        <w:t>. (citing R.D. at 11, 41</w:t>
      </w:r>
      <w:r w:rsidR="0076642E" w:rsidRPr="00E951F4">
        <w:rPr>
          <w:sz w:val="26"/>
          <w:szCs w:val="26"/>
        </w:rPr>
        <w:t xml:space="preserve">).  </w:t>
      </w:r>
      <w:r w:rsidR="00814458" w:rsidRPr="00E951F4">
        <w:rPr>
          <w:sz w:val="26"/>
          <w:szCs w:val="26"/>
        </w:rPr>
        <w:t xml:space="preserve">NRDC </w:t>
      </w:r>
      <w:r w:rsidR="008A7B08" w:rsidRPr="00E951F4">
        <w:rPr>
          <w:sz w:val="26"/>
          <w:szCs w:val="26"/>
        </w:rPr>
        <w:t xml:space="preserve">avers that as it stated in its Main Brief and testimony, </w:t>
      </w:r>
      <w:r w:rsidR="00814458" w:rsidRPr="00E951F4">
        <w:rPr>
          <w:sz w:val="26"/>
          <w:szCs w:val="26"/>
        </w:rPr>
        <w:t xml:space="preserve">the EGS Parties </w:t>
      </w:r>
      <w:r w:rsidR="001A7646" w:rsidRPr="00E951F4">
        <w:rPr>
          <w:sz w:val="26"/>
          <w:szCs w:val="26"/>
        </w:rPr>
        <w:t>did not offer any</w:t>
      </w:r>
      <w:r w:rsidR="00814458" w:rsidRPr="00E951F4">
        <w:rPr>
          <w:sz w:val="26"/>
          <w:szCs w:val="26"/>
        </w:rPr>
        <w:t xml:space="preserve"> concrete reasons why the default service TOU rates prevent EGSs from developing their own EV-TOU products</w:t>
      </w:r>
      <w:r w:rsidR="00C1057F" w:rsidRPr="00E951F4">
        <w:rPr>
          <w:sz w:val="26"/>
          <w:szCs w:val="26"/>
        </w:rPr>
        <w:t>,</w:t>
      </w:r>
      <w:r w:rsidR="00814458" w:rsidRPr="00E951F4">
        <w:rPr>
          <w:sz w:val="26"/>
          <w:szCs w:val="26"/>
        </w:rPr>
        <w:t xml:space="preserve"> and </w:t>
      </w:r>
      <w:r w:rsidR="00C1057F" w:rsidRPr="00E951F4">
        <w:rPr>
          <w:sz w:val="26"/>
          <w:szCs w:val="26"/>
        </w:rPr>
        <w:t xml:space="preserve">there is no evidence </w:t>
      </w:r>
      <w:r w:rsidR="00265E60" w:rsidRPr="00E951F4">
        <w:rPr>
          <w:sz w:val="26"/>
          <w:szCs w:val="26"/>
        </w:rPr>
        <w:t xml:space="preserve">in </w:t>
      </w:r>
      <w:r w:rsidR="00814458" w:rsidRPr="00E951F4">
        <w:rPr>
          <w:sz w:val="26"/>
          <w:szCs w:val="26"/>
        </w:rPr>
        <w:t xml:space="preserve">this proceeding </w:t>
      </w:r>
      <w:r w:rsidR="00265E60" w:rsidRPr="00E951F4">
        <w:rPr>
          <w:sz w:val="26"/>
          <w:szCs w:val="26"/>
        </w:rPr>
        <w:t>demonstrating</w:t>
      </w:r>
      <w:r w:rsidR="00814458" w:rsidRPr="00E951F4">
        <w:rPr>
          <w:sz w:val="26"/>
          <w:szCs w:val="26"/>
        </w:rPr>
        <w:t xml:space="preserve"> that the generation supply market has been</w:t>
      </w:r>
      <w:r w:rsidR="00265E60" w:rsidRPr="00E951F4">
        <w:rPr>
          <w:sz w:val="26"/>
          <w:szCs w:val="26"/>
        </w:rPr>
        <w:t xml:space="preserve"> </w:t>
      </w:r>
      <w:r w:rsidR="00706FA3" w:rsidRPr="00E951F4">
        <w:rPr>
          <w:sz w:val="26"/>
          <w:szCs w:val="26"/>
        </w:rPr>
        <w:t>harmed</w:t>
      </w:r>
      <w:r w:rsidR="00814458" w:rsidRPr="00E951F4">
        <w:rPr>
          <w:sz w:val="26"/>
          <w:szCs w:val="26"/>
        </w:rPr>
        <w:t xml:space="preserve"> in other parts of the country where EV-TOU rates have been implemented.</w:t>
      </w:r>
      <w:r w:rsidR="00706FA3" w:rsidRPr="00E951F4">
        <w:rPr>
          <w:sz w:val="26"/>
          <w:szCs w:val="26"/>
        </w:rPr>
        <w:t xml:space="preserve">  </w:t>
      </w:r>
      <w:r w:rsidR="007E3304" w:rsidRPr="00E951F4">
        <w:rPr>
          <w:sz w:val="26"/>
          <w:szCs w:val="26"/>
        </w:rPr>
        <w:t xml:space="preserve">NRDC R. Exc. at 4 (citing NRDC M.B. at </w:t>
      </w:r>
      <w:r w:rsidR="001A6CBC" w:rsidRPr="00E951F4">
        <w:rPr>
          <w:sz w:val="26"/>
          <w:szCs w:val="26"/>
        </w:rPr>
        <w:t>21; NRDC St. 2).  NRDC notes that a</w:t>
      </w:r>
      <w:r w:rsidR="00814458" w:rsidRPr="00E951F4">
        <w:rPr>
          <w:sz w:val="26"/>
          <w:szCs w:val="26"/>
        </w:rPr>
        <w:t xml:space="preserve">s the Company points out, </w:t>
      </w:r>
      <w:r w:rsidR="001311D3" w:rsidRPr="00E951F4">
        <w:rPr>
          <w:sz w:val="26"/>
          <w:szCs w:val="26"/>
        </w:rPr>
        <w:t xml:space="preserve">Duquesne Light </w:t>
      </w:r>
      <w:r w:rsidR="00814458" w:rsidRPr="00E951F4">
        <w:rPr>
          <w:sz w:val="26"/>
          <w:szCs w:val="26"/>
        </w:rPr>
        <w:t xml:space="preserve">is not attempting to compete with EGSs </w:t>
      </w:r>
      <w:r w:rsidR="00814458" w:rsidRPr="00E951F4">
        <w:rPr>
          <w:sz w:val="26"/>
          <w:szCs w:val="26"/>
        </w:rPr>
        <w:lastRenderedPageBreak/>
        <w:t>because there</w:t>
      </w:r>
      <w:r w:rsidR="001311D3" w:rsidRPr="00E951F4">
        <w:rPr>
          <w:sz w:val="26"/>
          <w:szCs w:val="26"/>
        </w:rPr>
        <w:t xml:space="preserve"> </w:t>
      </w:r>
      <w:r w:rsidR="00814458" w:rsidRPr="00E951F4">
        <w:rPr>
          <w:sz w:val="26"/>
          <w:szCs w:val="26"/>
        </w:rPr>
        <w:t>is no</w:t>
      </w:r>
      <w:r w:rsidR="001311D3" w:rsidRPr="00E951F4">
        <w:rPr>
          <w:sz w:val="26"/>
          <w:szCs w:val="26"/>
        </w:rPr>
        <w:t>t currently an</w:t>
      </w:r>
      <w:r w:rsidR="00814458" w:rsidRPr="00E951F4">
        <w:rPr>
          <w:sz w:val="26"/>
          <w:szCs w:val="26"/>
        </w:rPr>
        <w:t xml:space="preserve"> EGS offer to compete with.</w:t>
      </w:r>
      <w:r w:rsidR="001311D3" w:rsidRPr="00E951F4">
        <w:rPr>
          <w:sz w:val="26"/>
          <w:szCs w:val="26"/>
        </w:rPr>
        <w:t xml:space="preserve">  NRDC R. Exc. at 4 (citing </w:t>
      </w:r>
      <w:r w:rsidR="00680A7B" w:rsidRPr="00E951F4">
        <w:rPr>
          <w:sz w:val="26"/>
          <w:szCs w:val="26"/>
        </w:rPr>
        <w:t xml:space="preserve">Duquesne Light R.B. at 6).  </w:t>
      </w:r>
      <w:r w:rsidR="00814458" w:rsidRPr="00E951F4">
        <w:rPr>
          <w:sz w:val="26"/>
          <w:szCs w:val="26"/>
        </w:rPr>
        <w:t xml:space="preserve"> </w:t>
      </w:r>
    </w:p>
    <w:p w14:paraId="1A14757C" w14:textId="77777777" w:rsidR="00680A7B" w:rsidRPr="00E951F4" w:rsidRDefault="00680A7B" w:rsidP="00E951F4">
      <w:pPr>
        <w:widowControl/>
        <w:kinsoku w:val="0"/>
        <w:overflowPunct w:val="0"/>
        <w:spacing w:line="360" w:lineRule="auto"/>
        <w:ind w:right="72" w:firstLine="1440"/>
        <w:textAlignment w:val="baseline"/>
        <w:rPr>
          <w:sz w:val="26"/>
          <w:szCs w:val="26"/>
        </w:rPr>
      </w:pPr>
    </w:p>
    <w:p w14:paraId="37A5A354" w14:textId="43E64187" w:rsidR="00814458" w:rsidRPr="00E951F4" w:rsidRDefault="00680A7B" w:rsidP="00E951F4">
      <w:pPr>
        <w:widowControl/>
        <w:kinsoku w:val="0"/>
        <w:overflowPunct w:val="0"/>
        <w:spacing w:line="360" w:lineRule="auto"/>
        <w:ind w:firstLine="1440"/>
        <w:textAlignment w:val="baseline"/>
        <w:rPr>
          <w:sz w:val="26"/>
          <w:szCs w:val="26"/>
        </w:rPr>
      </w:pPr>
      <w:r w:rsidRPr="00E951F4">
        <w:rPr>
          <w:sz w:val="26"/>
          <w:szCs w:val="26"/>
        </w:rPr>
        <w:t>NRDC a</w:t>
      </w:r>
      <w:r w:rsidR="00814458" w:rsidRPr="00E951F4">
        <w:rPr>
          <w:sz w:val="26"/>
          <w:szCs w:val="26"/>
        </w:rPr>
        <w:t>dditionally</w:t>
      </w:r>
      <w:r w:rsidRPr="00E951F4">
        <w:rPr>
          <w:sz w:val="26"/>
          <w:szCs w:val="26"/>
        </w:rPr>
        <w:t xml:space="preserve"> </w:t>
      </w:r>
      <w:r w:rsidR="00BB7287" w:rsidRPr="00E951F4">
        <w:rPr>
          <w:sz w:val="26"/>
          <w:szCs w:val="26"/>
        </w:rPr>
        <w:t>asserts that</w:t>
      </w:r>
      <w:r w:rsidR="00814458" w:rsidRPr="00E951F4">
        <w:rPr>
          <w:sz w:val="26"/>
          <w:szCs w:val="26"/>
        </w:rPr>
        <w:t xml:space="preserve"> the EGS Parties’ arguments </w:t>
      </w:r>
      <w:r w:rsidR="00BB7287" w:rsidRPr="00E951F4">
        <w:rPr>
          <w:sz w:val="26"/>
          <w:szCs w:val="26"/>
        </w:rPr>
        <w:t>lack merit</w:t>
      </w:r>
      <w:r w:rsidR="00814458" w:rsidRPr="00E951F4">
        <w:rPr>
          <w:sz w:val="26"/>
          <w:szCs w:val="26"/>
        </w:rPr>
        <w:t xml:space="preserve"> because they ignore the plain </w:t>
      </w:r>
      <w:r w:rsidR="00BB7287" w:rsidRPr="00E951F4">
        <w:rPr>
          <w:sz w:val="26"/>
          <w:szCs w:val="26"/>
        </w:rPr>
        <w:t>language</w:t>
      </w:r>
      <w:r w:rsidR="00814458" w:rsidRPr="00E951F4">
        <w:rPr>
          <w:sz w:val="26"/>
          <w:szCs w:val="26"/>
        </w:rPr>
        <w:t xml:space="preserve"> of Act 129, which mandates that “a default service provider shall submit to the commission one or more proposed time-of-use rates and real-time price plans,” and that the “default service provider shall offer the time-of-use rates and real-time price plan to all customers that have been provided with smart meter technology.”</w:t>
      </w:r>
      <w:r w:rsidR="00A72BDD" w:rsidRPr="00E951F4">
        <w:rPr>
          <w:sz w:val="26"/>
          <w:szCs w:val="26"/>
        </w:rPr>
        <w:t xml:space="preserve">  NRDC R. Exc. at 4</w:t>
      </w:r>
      <w:r w:rsidR="00D118F5" w:rsidRPr="00E951F4">
        <w:rPr>
          <w:sz w:val="26"/>
          <w:szCs w:val="26"/>
        </w:rPr>
        <w:t xml:space="preserve"> (citing 66 Pa. C.S. § 2807(f)(5)).</w:t>
      </w:r>
      <w:r w:rsidR="00814458" w:rsidRPr="00E951F4">
        <w:rPr>
          <w:sz w:val="26"/>
          <w:szCs w:val="26"/>
        </w:rPr>
        <w:t xml:space="preserve"> </w:t>
      </w:r>
      <w:r w:rsidR="00D118F5" w:rsidRPr="00E951F4">
        <w:rPr>
          <w:sz w:val="26"/>
          <w:szCs w:val="26"/>
        </w:rPr>
        <w:t xml:space="preserve"> NRDC states that t</w:t>
      </w:r>
      <w:r w:rsidR="00814458" w:rsidRPr="00E951F4">
        <w:rPr>
          <w:sz w:val="26"/>
          <w:szCs w:val="26"/>
        </w:rPr>
        <w:t>he Commonwealth Court has</w:t>
      </w:r>
      <w:r w:rsidR="00D118F5" w:rsidRPr="00E951F4">
        <w:rPr>
          <w:sz w:val="26"/>
          <w:szCs w:val="26"/>
        </w:rPr>
        <w:t xml:space="preserve"> explained</w:t>
      </w:r>
      <w:r w:rsidR="00814458" w:rsidRPr="00E951F4">
        <w:rPr>
          <w:sz w:val="26"/>
          <w:szCs w:val="26"/>
        </w:rPr>
        <w:t xml:space="preserve"> that a default service provider itself must provide this TOU rate and may not fulfill this obligation by relying on EGSs to offer TOU products.</w:t>
      </w:r>
      <w:r w:rsidR="00A132A2" w:rsidRPr="00E951F4">
        <w:rPr>
          <w:sz w:val="26"/>
          <w:szCs w:val="26"/>
        </w:rPr>
        <w:t xml:space="preserve">  NRDC R. Exc. </w:t>
      </w:r>
      <w:r w:rsidR="000C43C7" w:rsidRPr="00E951F4">
        <w:rPr>
          <w:sz w:val="26"/>
          <w:szCs w:val="26"/>
        </w:rPr>
        <w:t xml:space="preserve">at 4 (citing </w:t>
      </w:r>
      <w:r w:rsidR="000C43C7" w:rsidRPr="00E951F4">
        <w:rPr>
          <w:i/>
          <w:iCs/>
          <w:sz w:val="26"/>
          <w:szCs w:val="26"/>
        </w:rPr>
        <w:t>Dauphin County</w:t>
      </w:r>
      <w:r w:rsidR="0097325D" w:rsidRPr="00E951F4">
        <w:rPr>
          <w:sz w:val="26"/>
          <w:szCs w:val="26"/>
        </w:rPr>
        <w:t>, 123 A.3d</w:t>
      </w:r>
      <w:r w:rsidR="00590356" w:rsidRPr="00E951F4">
        <w:rPr>
          <w:sz w:val="26"/>
          <w:szCs w:val="26"/>
        </w:rPr>
        <w:t xml:space="preserve"> </w:t>
      </w:r>
      <w:r w:rsidR="002F5086" w:rsidRPr="00E951F4">
        <w:rPr>
          <w:sz w:val="26"/>
          <w:szCs w:val="26"/>
        </w:rPr>
        <w:t>at</w:t>
      </w:r>
      <w:r w:rsidR="00590356" w:rsidRPr="00E951F4">
        <w:rPr>
          <w:sz w:val="26"/>
          <w:szCs w:val="26"/>
        </w:rPr>
        <w:t xml:space="preserve"> 1130-1136</w:t>
      </w:r>
      <w:r w:rsidR="001620F0" w:rsidRPr="00E951F4">
        <w:rPr>
          <w:sz w:val="26"/>
          <w:szCs w:val="26"/>
        </w:rPr>
        <w:t>)</w:t>
      </w:r>
      <w:r w:rsidR="00590356" w:rsidRPr="00E951F4">
        <w:rPr>
          <w:sz w:val="26"/>
          <w:szCs w:val="26"/>
        </w:rPr>
        <w:t>.</w:t>
      </w:r>
      <w:r w:rsidR="00917046" w:rsidRPr="00E951F4">
        <w:rPr>
          <w:sz w:val="26"/>
          <w:szCs w:val="26"/>
        </w:rPr>
        <w:t xml:space="preserve">  NRDC continues that </w:t>
      </w:r>
      <w:r w:rsidR="00ED368B" w:rsidRPr="00E951F4">
        <w:rPr>
          <w:sz w:val="26"/>
          <w:szCs w:val="26"/>
        </w:rPr>
        <w:t>the statute clearly contemplates that</w:t>
      </w:r>
      <w:r w:rsidR="00917046" w:rsidRPr="00E951F4">
        <w:rPr>
          <w:sz w:val="26"/>
          <w:szCs w:val="26"/>
        </w:rPr>
        <w:t xml:space="preserve"> a</w:t>
      </w:r>
      <w:r w:rsidR="00814458" w:rsidRPr="00E951F4">
        <w:rPr>
          <w:sz w:val="26"/>
          <w:szCs w:val="26"/>
        </w:rPr>
        <w:t xml:space="preserve"> default service TOU rate can</w:t>
      </w:r>
      <w:r w:rsidR="0029353D" w:rsidRPr="00E951F4">
        <w:rPr>
          <w:sz w:val="26"/>
          <w:szCs w:val="26"/>
        </w:rPr>
        <w:t xml:space="preserve"> be</w:t>
      </w:r>
      <w:r w:rsidR="00814458" w:rsidRPr="00E951F4">
        <w:rPr>
          <w:sz w:val="26"/>
          <w:szCs w:val="26"/>
        </w:rPr>
        <w:t xml:space="preserve"> permissibly “tailored” to EVs</w:t>
      </w:r>
      <w:r w:rsidR="00D27BAE" w:rsidRPr="00E951F4">
        <w:rPr>
          <w:sz w:val="26"/>
          <w:szCs w:val="26"/>
        </w:rPr>
        <w:t xml:space="preserve">, </w:t>
      </w:r>
      <w:r w:rsidR="00814458" w:rsidRPr="00E951F4">
        <w:rPr>
          <w:sz w:val="26"/>
          <w:szCs w:val="26"/>
        </w:rPr>
        <w:t>or to any other subset of ratepayer</w:t>
      </w:r>
      <w:r w:rsidR="00D27BAE" w:rsidRPr="00E951F4">
        <w:rPr>
          <w:sz w:val="26"/>
          <w:szCs w:val="26"/>
        </w:rPr>
        <w:t>,</w:t>
      </w:r>
      <w:r w:rsidR="00814458" w:rsidRPr="00E951F4">
        <w:rPr>
          <w:sz w:val="26"/>
          <w:szCs w:val="26"/>
        </w:rPr>
        <w:t xml:space="preserve"> </w:t>
      </w:r>
      <w:r w:rsidR="00055439" w:rsidRPr="00E951F4">
        <w:rPr>
          <w:sz w:val="26"/>
          <w:szCs w:val="26"/>
        </w:rPr>
        <w:t>by its language that</w:t>
      </w:r>
      <w:r w:rsidR="00814458" w:rsidRPr="00E951F4">
        <w:rPr>
          <w:sz w:val="26"/>
          <w:szCs w:val="26"/>
        </w:rPr>
        <w:t xml:space="preserve"> a provider must make available “one or more” TOU rates to default</w:t>
      </w:r>
      <w:r w:rsidR="007A0F16" w:rsidRPr="00E951F4">
        <w:rPr>
          <w:sz w:val="26"/>
          <w:szCs w:val="26"/>
        </w:rPr>
        <w:t xml:space="preserve"> </w:t>
      </w:r>
      <w:r w:rsidR="00814458" w:rsidRPr="00E951F4">
        <w:rPr>
          <w:sz w:val="26"/>
          <w:szCs w:val="26"/>
        </w:rPr>
        <w:t>service customers.</w:t>
      </w:r>
      <w:r w:rsidR="005E68D4" w:rsidRPr="00E951F4">
        <w:rPr>
          <w:sz w:val="26"/>
          <w:szCs w:val="26"/>
        </w:rPr>
        <w:t xml:space="preserve">  NRDC</w:t>
      </w:r>
      <w:r w:rsidR="00D23CAB" w:rsidRPr="00E951F4">
        <w:rPr>
          <w:sz w:val="26"/>
          <w:szCs w:val="26"/>
        </w:rPr>
        <w:t xml:space="preserve"> R. Exc. at 5 (citing 66 Pa. C.S. § 2807(f)(5)</w:t>
      </w:r>
      <w:r w:rsidR="00FE15EB" w:rsidRPr="00E951F4">
        <w:rPr>
          <w:sz w:val="26"/>
          <w:szCs w:val="26"/>
        </w:rPr>
        <w:t>)</w:t>
      </w:r>
      <w:r w:rsidR="006D2BBA" w:rsidRPr="00E951F4">
        <w:rPr>
          <w:sz w:val="26"/>
          <w:szCs w:val="26"/>
        </w:rPr>
        <w:t xml:space="preserve">.  </w:t>
      </w:r>
      <w:r w:rsidR="00814458" w:rsidRPr="00E951F4">
        <w:rPr>
          <w:sz w:val="26"/>
          <w:szCs w:val="26"/>
        </w:rPr>
        <w:t xml:space="preserve">NRDC </w:t>
      </w:r>
      <w:r w:rsidR="00CC1297" w:rsidRPr="00E951F4">
        <w:rPr>
          <w:sz w:val="26"/>
          <w:szCs w:val="26"/>
        </w:rPr>
        <w:t xml:space="preserve">points out that </w:t>
      </w:r>
      <w:r w:rsidR="00814458" w:rsidRPr="00E951F4">
        <w:rPr>
          <w:sz w:val="26"/>
          <w:szCs w:val="26"/>
        </w:rPr>
        <w:t>there is no other TOU rate offering in the Company’s instant DSP IX proposal that would fulfill the Company’s obligation to provide TOU rates to all smart metered customers</w:t>
      </w:r>
      <w:r w:rsidR="00953EEA" w:rsidRPr="00E951F4">
        <w:rPr>
          <w:sz w:val="26"/>
          <w:szCs w:val="26"/>
        </w:rPr>
        <w:t xml:space="preserve">, so it cannot be argued that </w:t>
      </w:r>
      <w:r w:rsidR="00814458" w:rsidRPr="00E951F4">
        <w:rPr>
          <w:sz w:val="26"/>
          <w:szCs w:val="26"/>
        </w:rPr>
        <w:t xml:space="preserve">the Company could offer some other TOU rate in order to fulfill </w:t>
      </w:r>
      <w:r w:rsidR="008E2314" w:rsidRPr="00E951F4">
        <w:rPr>
          <w:sz w:val="26"/>
          <w:szCs w:val="26"/>
        </w:rPr>
        <w:t>the requirements of Section</w:t>
      </w:r>
      <w:r w:rsidR="00814458" w:rsidRPr="00E951F4">
        <w:rPr>
          <w:sz w:val="26"/>
          <w:szCs w:val="26"/>
        </w:rPr>
        <w:t xml:space="preserve"> 2807(f)(5).</w:t>
      </w:r>
      <w:r w:rsidR="00700ED3" w:rsidRPr="00E951F4">
        <w:rPr>
          <w:sz w:val="26"/>
          <w:szCs w:val="26"/>
        </w:rPr>
        <w:t xml:space="preserve">  NRDC R. Exc. at 5.</w:t>
      </w:r>
    </w:p>
    <w:p w14:paraId="07843B42" w14:textId="77777777" w:rsidR="00FB7840" w:rsidRPr="00E951F4" w:rsidRDefault="00FB7840" w:rsidP="00E951F4">
      <w:pPr>
        <w:widowControl/>
        <w:kinsoku w:val="0"/>
        <w:overflowPunct w:val="0"/>
        <w:spacing w:line="360" w:lineRule="auto"/>
        <w:ind w:firstLine="1440"/>
        <w:textAlignment w:val="baseline"/>
        <w:rPr>
          <w:sz w:val="26"/>
          <w:szCs w:val="26"/>
        </w:rPr>
      </w:pPr>
    </w:p>
    <w:p w14:paraId="69AFE9E9" w14:textId="502324C6" w:rsidR="00814458" w:rsidRPr="00E951F4" w:rsidRDefault="00FB7840" w:rsidP="00E951F4">
      <w:pPr>
        <w:widowControl/>
        <w:kinsoku w:val="0"/>
        <w:overflowPunct w:val="0"/>
        <w:spacing w:line="360" w:lineRule="auto"/>
        <w:ind w:right="72" w:firstLine="1440"/>
        <w:textAlignment w:val="baseline"/>
        <w:rPr>
          <w:sz w:val="26"/>
          <w:szCs w:val="26"/>
        </w:rPr>
      </w:pPr>
      <w:r w:rsidRPr="00E951F4">
        <w:rPr>
          <w:sz w:val="26"/>
          <w:szCs w:val="26"/>
        </w:rPr>
        <w:t xml:space="preserve">In reply to the </w:t>
      </w:r>
      <w:r w:rsidR="00154BB0" w:rsidRPr="00E951F4">
        <w:rPr>
          <w:sz w:val="26"/>
          <w:szCs w:val="26"/>
        </w:rPr>
        <w:t>EGS Parties’ argument that</w:t>
      </w:r>
      <w:r w:rsidR="00814458" w:rsidRPr="00E951F4">
        <w:rPr>
          <w:sz w:val="26"/>
          <w:szCs w:val="26"/>
        </w:rPr>
        <w:t xml:space="preserve"> 52 Pa. Code § 54.187(c) </w:t>
      </w:r>
      <w:r w:rsidR="00562623" w:rsidRPr="00E951F4">
        <w:rPr>
          <w:sz w:val="26"/>
          <w:szCs w:val="26"/>
        </w:rPr>
        <w:t>prohibits</w:t>
      </w:r>
      <w:r w:rsidR="00814458" w:rsidRPr="00E951F4">
        <w:rPr>
          <w:sz w:val="26"/>
          <w:szCs w:val="26"/>
        </w:rPr>
        <w:t xml:space="preserve"> TOU offerings, </w:t>
      </w:r>
      <w:r w:rsidR="00C8451A" w:rsidRPr="00E951F4">
        <w:rPr>
          <w:sz w:val="26"/>
          <w:szCs w:val="26"/>
        </w:rPr>
        <w:t xml:space="preserve">NRDC contends that </w:t>
      </w:r>
      <w:r w:rsidR="00814458" w:rsidRPr="00E951F4">
        <w:rPr>
          <w:sz w:val="26"/>
          <w:szCs w:val="26"/>
        </w:rPr>
        <w:t xml:space="preserve">such a construction would </w:t>
      </w:r>
      <w:r w:rsidR="00613E1E" w:rsidRPr="00E951F4">
        <w:rPr>
          <w:sz w:val="26"/>
          <w:szCs w:val="26"/>
        </w:rPr>
        <w:t>contradict Section 2807(f)(5) of the Code,</w:t>
      </w:r>
      <w:r w:rsidR="00814458" w:rsidRPr="00E951F4">
        <w:rPr>
          <w:sz w:val="26"/>
          <w:szCs w:val="26"/>
        </w:rPr>
        <w:t xml:space="preserve"> 66 Pa. C.S. § 2807(f)(5), and </w:t>
      </w:r>
      <w:bookmarkStart w:id="88" w:name="_Hlk59610699"/>
      <w:r w:rsidR="00814458" w:rsidRPr="00E951F4">
        <w:rPr>
          <w:sz w:val="26"/>
          <w:szCs w:val="26"/>
        </w:rPr>
        <w:t>an agency’s regulations may not contradict the General Assembly</w:t>
      </w:r>
      <w:r w:rsidR="00700ED3" w:rsidRPr="00E951F4">
        <w:rPr>
          <w:sz w:val="26"/>
          <w:szCs w:val="26"/>
        </w:rPr>
        <w:t>’s requirements</w:t>
      </w:r>
      <w:r w:rsidR="00814458" w:rsidRPr="00E951F4">
        <w:rPr>
          <w:sz w:val="26"/>
          <w:szCs w:val="26"/>
        </w:rPr>
        <w:t>.</w:t>
      </w:r>
      <w:r w:rsidR="00700ED3" w:rsidRPr="00E951F4">
        <w:rPr>
          <w:sz w:val="26"/>
          <w:szCs w:val="26"/>
        </w:rPr>
        <w:t xml:space="preserve">  </w:t>
      </w:r>
      <w:r w:rsidR="001775EE" w:rsidRPr="00E951F4">
        <w:rPr>
          <w:i/>
          <w:iCs/>
          <w:sz w:val="26"/>
          <w:szCs w:val="26"/>
        </w:rPr>
        <w:t>Id</w:t>
      </w:r>
      <w:r w:rsidR="001775EE" w:rsidRPr="00E951F4">
        <w:rPr>
          <w:sz w:val="26"/>
          <w:szCs w:val="26"/>
        </w:rPr>
        <w:t xml:space="preserve">. (citing </w:t>
      </w:r>
      <w:r w:rsidR="001775EE" w:rsidRPr="00E951F4">
        <w:rPr>
          <w:i/>
          <w:iCs/>
          <w:sz w:val="26"/>
          <w:szCs w:val="26"/>
        </w:rPr>
        <w:t>Hommrich v. Commonwealth</w:t>
      </w:r>
      <w:r w:rsidR="008C7F9F" w:rsidRPr="00E951F4">
        <w:rPr>
          <w:i/>
          <w:iCs/>
          <w:sz w:val="26"/>
          <w:szCs w:val="26"/>
        </w:rPr>
        <w:t xml:space="preserve"> (Hommrich)</w:t>
      </w:r>
      <w:r w:rsidR="001775EE" w:rsidRPr="00E951F4">
        <w:rPr>
          <w:sz w:val="26"/>
          <w:szCs w:val="26"/>
        </w:rPr>
        <w:t xml:space="preserve">, 231 </w:t>
      </w:r>
      <w:r w:rsidR="00E56F2D" w:rsidRPr="00E951F4">
        <w:rPr>
          <w:sz w:val="26"/>
          <w:szCs w:val="26"/>
        </w:rPr>
        <w:t xml:space="preserve">A.3d 1027, 1034-1035 (Pa. Cmwlth. 2020)).  </w:t>
      </w:r>
      <w:bookmarkEnd w:id="88"/>
      <w:r w:rsidR="00C6232E" w:rsidRPr="00E951F4">
        <w:rPr>
          <w:sz w:val="26"/>
          <w:szCs w:val="26"/>
        </w:rPr>
        <w:t xml:space="preserve">In response to the </w:t>
      </w:r>
      <w:r w:rsidR="00814458" w:rsidRPr="00E951F4">
        <w:rPr>
          <w:sz w:val="26"/>
          <w:szCs w:val="26"/>
        </w:rPr>
        <w:t xml:space="preserve">EGS Parties’ argument that demand side management rates may only be implemented when the Commission </w:t>
      </w:r>
      <w:r w:rsidR="000E3D75" w:rsidRPr="00E951F4">
        <w:rPr>
          <w:sz w:val="26"/>
          <w:szCs w:val="26"/>
        </w:rPr>
        <w:t xml:space="preserve">requires such rates pursuant to the </w:t>
      </w:r>
      <w:r w:rsidR="00814458" w:rsidRPr="00E951F4">
        <w:rPr>
          <w:sz w:val="26"/>
          <w:szCs w:val="26"/>
        </w:rPr>
        <w:t>AEPS Act</w:t>
      </w:r>
      <w:r w:rsidR="000E3D75" w:rsidRPr="00E951F4">
        <w:rPr>
          <w:sz w:val="26"/>
          <w:szCs w:val="26"/>
        </w:rPr>
        <w:t>,</w:t>
      </w:r>
      <w:r w:rsidR="00814458" w:rsidRPr="00E951F4">
        <w:rPr>
          <w:sz w:val="26"/>
          <w:szCs w:val="26"/>
        </w:rPr>
        <w:t xml:space="preserve"> </w:t>
      </w:r>
      <w:r w:rsidR="00592921" w:rsidRPr="00E951F4">
        <w:rPr>
          <w:sz w:val="26"/>
          <w:szCs w:val="26"/>
        </w:rPr>
        <w:lastRenderedPageBreak/>
        <w:t xml:space="preserve">NRDC states that </w:t>
      </w:r>
      <w:r w:rsidR="004612D7" w:rsidRPr="00E951F4">
        <w:rPr>
          <w:sz w:val="26"/>
          <w:szCs w:val="26"/>
        </w:rPr>
        <w:t xml:space="preserve">the </w:t>
      </w:r>
      <w:r w:rsidR="008B6CA0" w:rsidRPr="00E951F4">
        <w:rPr>
          <w:sz w:val="26"/>
          <w:szCs w:val="26"/>
        </w:rPr>
        <w:t xml:space="preserve">requirements in the AEPS Act </w:t>
      </w:r>
      <w:r w:rsidR="00814458" w:rsidRPr="00E951F4">
        <w:rPr>
          <w:sz w:val="26"/>
          <w:szCs w:val="26"/>
        </w:rPr>
        <w:t xml:space="preserve">do not </w:t>
      </w:r>
      <w:r w:rsidR="008B6CA0" w:rsidRPr="00E951F4">
        <w:rPr>
          <w:sz w:val="26"/>
          <w:szCs w:val="26"/>
        </w:rPr>
        <w:t>address</w:t>
      </w:r>
      <w:r w:rsidR="00814458" w:rsidRPr="00E951F4">
        <w:rPr>
          <w:sz w:val="26"/>
          <w:szCs w:val="26"/>
        </w:rPr>
        <w:t xml:space="preserve">, much less contradict, the specific requirements of </w:t>
      </w:r>
      <w:r w:rsidR="008B6CA0" w:rsidRPr="00E951F4">
        <w:rPr>
          <w:sz w:val="26"/>
          <w:szCs w:val="26"/>
        </w:rPr>
        <w:t>Section</w:t>
      </w:r>
      <w:r w:rsidR="00814458" w:rsidRPr="00E951F4">
        <w:rPr>
          <w:sz w:val="26"/>
          <w:szCs w:val="26"/>
        </w:rPr>
        <w:t xml:space="preserve"> 2807(f)(5).</w:t>
      </w:r>
      <w:r w:rsidR="006E6C67" w:rsidRPr="00E951F4">
        <w:rPr>
          <w:sz w:val="26"/>
          <w:szCs w:val="26"/>
        </w:rPr>
        <w:t xml:space="preserve">  NRDC R.</w:t>
      </w:r>
      <w:r w:rsidR="00CD775C" w:rsidRPr="00E951F4">
        <w:rPr>
          <w:sz w:val="26"/>
          <w:szCs w:val="26"/>
        </w:rPr>
        <w:t xml:space="preserve"> Exc. at 5.</w:t>
      </w:r>
      <w:r w:rsidR="006E6C67" w:rsidRPr="00E951F4">
        <w:rPr>
          <w:sz w:val="26"/>
          <w:szCs w:val="26"/>
        </w:rPr>
        <w:t xml:space="preserve"> </w:t>
      </w:r>
      <w:r w:rsidR="0017499D" w:rsidRPr="00E951F4">
        <w:rPr>
          <w:sz w:val="26"/>
          <w:szCs w:val="26"/>
        </w:rPr>
        <w:t xml:space="preserve"> </w:t>
      </w:r>
    </w:p>
    <w:p w14:paraId="7CC252F4" w14:textId="0B71EED5" w:rsidR="0069108B" w:rsidRPr="00E951F4" w:rsidRDefault="0069108B" w:rsidP="00E951F4">
      <w:pPr>
        <w:widowControl/>
        <w:kinsoku w:val="0"/>
        <w:overflowPunct w:val="0"/>
        <w:spacing w:line="360" w:lineRule="auto"/>
        <w:ind w:right="72" w:firstLine="1440"/>
        <w:textAlignment w:val="baseline"/>
        <w:rPr>
          <w:sz w:val="26"/>
          <w:szCs w:val="26"/>
        </w:rPr>
      </w:pPr>
    </w:p>
    <w:p w14:paraId="2CE42B1C" w14:textId="2AD50123" w:rsidR="00592921" w:rsidRPr="00E951F4" w:rsidRDefault="00C523FD" w:rsidP="00E951F4">
      <w:pPr>
        <w:pStyle w:val="Heading3"/>
      </w:pPr>
      <w:bookmarkStart w:id="89" w:name="_Toc59620148"/>
      <w:bookmarkStart w:id="90" w:name="_Toc60912044"/>
      <w:r w:rsidRPr="00E951F4">
        <w:t>Disposition</w:t>
      </w:r>
      <w:bookmarkEnd w:id="89"/>
      <w:bookmarkEnd w:id="90"/>
    </w:p>
    <w:p w14:paraId="3E64755A" w14:textId="77777777" w:rsidR="00592921" w:rsidRPr="00E951F4" w:rsidRDefault="00592921" w:rsidP="00E951F4">
      <w:pPr>
        <w:keepNext/>
        <w:widowControl/>
        <w:kinsoku w:val="0"/>
        <w:overflowPunct w:val="0"/>
        <w:spacing w:line="360" w:lineRule="auto"/>
        <w:ind w:right="72" w:firstLine="1440"/>
        <w:textAlignment w:val="baseline"/>
        <w:rPr>
          <w:sz w:val="26"/>
          <w:szCs w:val="26"/>
        </w:rPr>
      </w:pPr>
    </w:p>
    <w:p w14:paraId="225E7BE0" w14:textId="24EBACE4" w:rsidR="0069108B" w:rsidRPr="00E951F4" w:rsidRDefault="0069108B" w:rsidP="00E951F4">
      <w:pPr>
        <w:widowControl/>
        <w:kinsoku w:val="0"/>
        <w:overflowPunct w:val="0"/>
        <w:spacing w:line="360" w:lineRule="auto"/>
        <w:ind w:firstLine="1440"/>
        <w:textAlignment w:val="baseline"/>
        <w:rPr>
          <w:sz w:val="26"/>
          <w:szCs w:val="26"/>
        </w:rPr>
      </w:pPr>
      <w:bookmarkStart w:id="91" w:name="_Hlk59028801"/>
      <w:r w:rsidRPr="00E951F4">
        <w:rPr>
          <w:rFonts w:eastAsiaTheme="minorHAnsi"/>
          <w:sz w:val="26"/>
          <w:szCs w:val="26"/>
        </w:rPr>
        <w:t xml:space="preserve">Based on our review of the record, the Parties’ arguments, and the applicable law, we agree with the ALJ’s recommendation to approve the EV-TOU pilot in the Company’s DSP IX, as modified by the EV-TOU Stipulation.  The </w:t>
      </w:r>
      <w:r w:rsidR="007D480B" w:rsidRPr="00E951F4">
        <w:rPr>
          <w:rFonts w:eastAsiaTheme="minorHAnsi"/>
          <w:sz w:val="26"/>
          <w:szCs w:val="26"/>
        </w:rPr>
        <w:t>Company’s EV</w:t>
      </w:r>
      <w:r w:rsidRPr="00E951F4">
        <w:rPr>
          <w:rFonts w:eastAsiaTheme="minorHAnsi"/>
          <w:sz w:val="26"/>
          <w:szCs w:val="26"/>
        </w:rPr>
        <w:t xml:space="preserve">-TOU proposal is legally sound.  Under the </w:t>
      </w:r>
      <w:r w:rsidR="00F15A65" w:rsidRPr="00E951F4">
        <w:rPr>
          <w:rFonts w:eastAsiaTheme="minorHAnsi"/>
          <w:sz w:val="26"/>
          <w:szCs w:val="26"/>
        </w:rPr>
        <w:t>Competition Act</w:t>
      </w:r>
      <w:r w:rsidRPr="00E951F4">
        <w:rPr>
          <w:rFonts w:eastAsiaTheme="minorHAnsi"/>
          <w:sz w:val="26"/>
          <w:szCs w:val="26"/>
        </w:rPr>
        <w:t>, the “default service provider shall submit to the [C]ommission one or more proposed time-of-use rates and real-time price plans” and shall offer them to all customers, residential and commercial, with smart meter technology.  66 Pa. C.S. § 2807(f)(5).  In interpreting Section</w:t>
      </w:r>
      <w:r w:rsidR="001A278C">
        <w:rPr>
          <w:rFonts w:eastAsiaTheme="minorHAnsi"/>
          <w:sz w:val="26"/>
          <w:szCs w:val="26"/>
        </w:rPr>
        <w:t> </w:t>
      </w:r>
      <w:r w:rsidRPr="00E951F4">
        <w:rPr>
          <w:rFonts w:eastAsiaTheme="minorHAnsi"/>
          <w:sz w:val="26"/>
          <w:szCs w:val="26"/>
        </w:rPr>
        <w:t xml:space="preserve">2807(f)(5), the Commonwealth Court held that the express language of the statute places the burden on the DSP to offer </w:t>
      </w:r>
      <w:r w:rsidR="000135D0" w:rsidRPr="00E951F4">
        <w:rPr>
          <w:rFonts w:eastAsiaTheme="minorHAnsi"/>
          <w:sz w:val="26"/>
          <w:szCs w:val="26"/>
        </w:rPr>
        <w:t>TOU</w:t>
      </w:r>
      <w:r w:rsidRPr="00E951F4">
        <w:rPr>
          <w:rFonts w:eastAsiaTheme="minorHAnsi"/>
          <w:sz w:val="26"/>
          <w:szCs w:val="26"/>
        </w:rPr>
        <w:t xml:space="preserve"> rates to customers and that the statute does not authorize a DSP to pass along its obligation to an EGS.  </w:t>
      </w:r>
      <w:r w:rsidRPr="00E951F4">
        <w:rPr>
          <w:rFonts w:eastAsiaTheme="minorHAnsi"/>
          <w:i/>
          <w:iCs/>
          <w:sz w:val="26"/>
          <w:szCs w:val="26"/>
        </w:rPr>
        <w:t xml:space="preserve">Dauphin </w:t>
      </w:r>
      <w:r w:rsidR="009E298C" w:rsidRPr="00E951F4">
        <w:rPr>
          <w:rFonts w:eastAsiaTheme="minorHAnsi"/>
          <w:i/>
          <w:iCs/>
          <w:sz w:val="26"/>
          <w:szCs w:val="26"/>
        </w:rPr>
        <w:t xml:space="preserve">County </w:t>
      </w:r>
      <w:r w:rsidR="009E298C" w:rsidRPr="00E951F4">
        <w:rPr>
          <w:rFonts w:eastAsiaTheme="minorHAnsi"/>
          <w:sz w:val="26"/>
          <w:szCs w:val="26"/>
        </w:rPr>
        <w:t>at</w:t>
      </w:r>
      <w:r w:rsidR="001A278C">
        <w:rPr>
          <w:rFonts w:eastAsiaTheme="minorHAnsi"/>
          <w:sz w:val="26"/>
          <w:szCs w:val="26"/>
        </w:rPr>
        <w:t> </w:t>
      </w:r>
      <w:r w:rsidRPr="00E951F4">
        <w:rPr>
          <w:rFonts w:eastAsiaTheme="minorHAnsi"/>
          <w:sz w:val="26"/>
          <w:szCs w:val="26"/>
        </w:rPr>
        <w:t xml:space="preserve">1134.  Contrary to the EGS Parties’ arguments, there is nothing in Section 54.187(c) of our Regulations that prohibits Duquesne Light from providing a TOU rate tailored to EVs, and that Regulation cannot be read as overriding the clear language in the </w:t>
      </w:r>
      <w:r w:rsidR="00F15A65" w:rsidRPr="00E951F4">
        <w:rPr>
          <w:rFonts w:eastAsiaTheme="minorHAnsi"/>
          <w:sz w:val="26"/>
          <w:szCs w:val="26"/>
        </w:rPr>
        <w:t>Competition Act</w:t>
      </w:r>
      <w:r w:rsidRPr="00E951F4">
        <w:rPr>
          <w:rFonts w:eastAsiaTheme="minorHAnsi"/>
          <w:sz w:val="26"/>
          <w:szCs w:val="26"/>
        </w:rPr>
        <w:t xml:space="preserve">. </w:t>
      </w:r>
      <w:r w:rsidR="008E468A" w:rsidRPr="00E951F4">
        <w:rPr>
          <w:rFonts w:eastAsiaTheme="minorHAnsi"/>
          <w:sz w:val="26"/>
          <w:szCs w:val="26"/>
        </w:rPr>
        <w:t xml:space="preserve"> </w:t>
      </w:r>
      <w:r w:rsidR="008E468A" w:rsidRPr="00E951F4">
        <w:rPr>
          <w:i/>
          <w:iCs/>
          <w:sz w:val="26"/>
          <w:szCs w:val="26"/>
        </w:rPr>
        <w:t>Hommrich</w:t>
      </w:r>
      <w:r w:rsidR="008E468A" w:rsidRPr="00E951F4">
        <w:rPr>
          <w:sz w:val="26"/>
          <w:szCs w:val="26"/>
        </w:rPr>
        <w:t>, 231 A.3d at 1034-1035</w:t>
      </w:r>
      <w:r w:rsidRPr="00E951F4">
        <w:rPr>
          <w:rFonts w:eastAsiaTheme="minorHAnsi"/>
          <w:sz w:val="26"/>
          <w:szCs w:val="26"/>
        </w:rPr>
        <w:t xml:space="preserve">.  Nor is the EV-TOU rate a demand side management rate that may only be approved if the Commission mandates such a rate under the AEPS Act.  Duquesne Light’s proposed EV-TOU </w:t>
      </w:r>
      <w:r w:rsidR="0035032C" w:rsidRPr="00E951F4">
        <w:rPr>
          <w:rFonts w:eastAsiaTheme="minorHAnsi"/>
          <w:sz w:val="26"/>
          <w:szCs w:val="26"/>
        </w:rPr>
        <w:t>R</w:t>
      </w:r>
      <w:r w:rsidRPr="00E951F4">
        <w:rPr>
          <w:rFonts w:eastAsiaTheme="minorHAnsi"/>
          <w:sz w:val="26"/>
          <w:szCs w:val="26"/>
        </w:rPr>
        <w:t>ate is a rate for time</w:t>
      </w:r>
      <w:r w:rsidR="0029353D" w:rsidRPr="00E951F4">
        <w:rPr>
          <w:rFonts w:eastAsiaTheme="minorHAnsi"/>
          <w:sz w:val="26"/>
          <w:szCs w:val="26"/>
        </w:rPr>
        <w:t>-</w:t>
      </w:r>
      <w:r w:rsidRPr="00E951F4">
        <w:rPr>
          <w:rFonts w:eastAsiaTheme="minorHAnsi"/>
          <w:sz w:val="26"/>
          <w:szCs w:val="26"/>
        </w:rPr>
        <w:t>of</w:t>
      </w:r>
      <w:r w:rsidR="0029353D" w:rsidRPr="00E951F4">
        <w:rPr>
          <w:rFonts w:eastAsiaTheme="minorHAnsi"/>
          <w:sz w:val="26"/>
          <w:szCs w:val="26"/>
        </w:rPr>
        <w:t>-</w:t>
      </w:r>
      <w:r w:rsidRPr="00E951F4">
        <w:rPr>
          <w:rFonts w:eastAsiaTheme="minorHAnsi"/>
          <w:sz w:val="26"/>
          <w:szCs w:val="26"/>
        </w:rPr>
        <w:t xml:space="preserve">use service.  The Company’s witness, </w:t>
      </w:r>
      <w:r w:rsidR="008E468A" w:rsidRPr="00E951F4">
        <w:rPr>
          <w:rFonts w:eastAsiaTheme="minorHAnsi"/>
          <w:sz w:val="26"/>
          <w:szCs w:val="26"/>
        </w:rPr>
        <w:t xml:space="preserve">Mr. </w:t>
      </w:r>
      <w:r w:rsidRPr="00E951F4">
        <w:rPr>
          <w:rFonts w:eastAsiaTheme="minorHAnsi"/>
          <w:sz w:val="26"/>
          <w:szCs w:val="26"/>
        </w:rPr>
        <w:t>Ogden, explained that t</w:t>
      </w:r>
      <w:r w:rsidRPr="00E951F4">
        <w:rPr>
          <w:sz w:val="26"/>
          <w:szCs w:val="26"/>
        </w:rPr>
        <w:t xml:space="preserve">he Company previously unbundled procurement costs from base rates into default service rates and that in the Company’s Exhibits DBO-3 and DBO-5, unbundled procurement costs are included in the proposed EV-TOU </w:t>
      </w:r>
      <w:r w:rsidR="00332A01" w:rsidRPr="00E951F4">
        <w:rPr>
          <w:sz w:val="26"/>
          <w:szCs w:val="26"/>
        </w:rPr>
        <w:t>R</w:t>
      </w:r>
      <w:r w:rsidRPr="00E951F4">
        <w:rPr>
          <w:sz w:val="26"/>
          <w:szCs w:val="26"/>
        </w:rPr>
        <w:t>ate, just as they are in designing other default service rates.  Duquesne Light St. 4 at 17-18, 20; Duquesne Light Exhs. DBO-3, DBO-5.</w:t>
      </w:r>
    </w:p>
    <w:p w14:paraId="455A5B36" w14:textId="77777777" w:rsidR="005E433E" w:rsidRPr="00E951F4" w:rsidRDefault="005E433E" w:rsidP="00E951F4">
      <w:pPr>
        <w:widowControl/>
        <w:kinsoku w:val="0"/>
        <w:overflowPunct w:val="0"/>
        <w:spacing w:line="360" w:lineRule="auto"/>
        <w:ind w:firstLine="1440"/>
        <w:textAlignment w:val="baseline"/>
        <w:rPr>
          <w:sz w:val="26"/>
          <w:szCs w:val="26"/>
        </w:rPr>
      </w:pPr>
    </w:p>
    <w:bookmarkEnd w:id="91"/>
    <w:p w14:paraId="5CFA6DE1" w14:textId="290D9A80" w:rsidR="0069108B" w:rsidRPr="00E951F4" w:rsidRDefault="0069108B" w:rsidP="00E951F4">
      <w:pPr>
        <w:widowControl/>
        <w:spacing w:line="360" w:lineRule="auto"/>
        <w:rPr>
          <w:rFonts w:eastAsiaTheme="minorHAnsi"/>
          <w:sz w:val="26"/>
          <w:szCs w:val="26"/>
        </w:rPr>
      </w:pPr>
      <w:r w:rsidRPr="00E951F4">
        <w:rPr>
          <w:rFonts w:eastAsiaTheme="minorHAnsi"/>
          <w:sz w:val="26"/>
          <w:szCs w:val="26"/>
        </w:rPr>
        <w:tab/>
      </w:r>
      <w:r w:rsidRPr="00E951F4">
        <w:rPr>
          <w:rFonts w:eastAsiaTheme="minorHAnsi"/>
          <w:sz w:val="26"/>
          <w:szCs w:val="26"/>
        </w:rPr>
        <w:tab/>
        <w:t>The Company’s proposal is also consistent with the guidance we provided to EDC</w:t>
      </w:r>
      <w:r w:rsidR="0075739D" w:rsidRPr="00E951F4">
        <w:rPr>
          <w:rFonts w:eastAsiaTheme="minorHAnsi"/>
          <w:sz w:val="26"/>
          <w:szCs w:val="26"/>
        </w:rPr>
        <w:t>s</w:t>
      </w:r>
      <w:r w:rsidRPr="00E951F4">
        <w:rPr>
          <w:rFonts w:eastAsiaTheme="minorHAnsi"/>
          <w:sz w:val="26"/>
          <w:szCs w:val="26"/>
        </w:rPr>
        <w:t xml:space="preserve"> in </w:t>
      </w:r>
      <w:r w:rsidR="005626AB" w:rsidRPr="00E951F4">
        <w:rPr>
          <w:rFonts w:eastAsiaTheme="minorHAnsi"/>
          <w:sz w:val="26"/>
          <w:szCs w:val="26"/>
        </w:rPr>
        <w:t>the</w:t>
      </w:r>
      <w:r w:rsidRPr="00E951F4">
        <w:rPr>
          <w:rFonts w:eastAsiaTheme="minorHAnsi"/>
          <w:sz w:val="26"/>
          <w:szCs w:val="26"/>
        </w:rPr>
        <w:t xml:space="preserve"> </w:t>
      </w:r>
      <w:r w:rsidRPr="00E951F4">
        <w:rPr>
          <w:rFonts w:eastAsiaTheme="minorHAnsi"/>
          <w:i/>
          <w:iCs/>
          <w:sz w:val="26"/>
          <w:szCs w:val="26"/>
        </w:rPr>
        <w:t>January 23, 2020 Secretarial Letter</w:t>
      </w:r>
      <w:r w:rsidRPr="00E951F4">
        <w:rPr>
          <w:rFonts w:eastAsiaTheme="minorHAnsi"/>
          <w:sz w:val="26"/>
          <w:szCs w:val="26"/>
        </w:rPr>
        <w:t>, w</w:t>
      </w:r>
      <w:r w:rsidR="005626AB" w:rsidRPr="00E951F4">
        <w:rPr>
          <w:rFonts w:eastAsiaTheme="minorHAnsi"/>
          <w:sz w:val="26"/>
          <w:szCs w:val="26"/>
        </w:rPr>
        <w:t>herein we</w:t>
      </w:r>
      <w:r w:rsidRPr="00E951F4">
        <w:rPr>
          <w:rFonts w:eastAsiaTheme="minorHAnsi"/>
          <w:sz w:val="26"/>
          <w:szCs w:val="26"/>
        </w:rPr>
        <w:t xml:space="preserve"> offered guidance to </w:t>
      </w:r>
      <w:r w:rsidRPr="00E951F4">
        <w:rPr>
          <w:rFonts w:eastAsiaTheme="minorHAnsi"/>
          <w:sz w:val="26"/>
          <w:szCs w:val="26"/>
        </w:rPr>
        <w:lastRenderedPageBreak/>
        <w:t xml:space="preserve">EDCs, including guidance on TOU rate offerings, as they prepared for their next round of DSPs. </w:t>
      </w:r>
      <w:r w:rsidR="005626AB" w:rsidRPr="00E951F4">
        <w:rPr>
          <w:rFonts w:eastAsiaTheme="minorHAnsi"/>
          <w:sz w:val="26"/>
          <w:szCs w:val="26"/>
        </w:rPr>
        <w:t xml:space="preserve"> </w:t>
      </w:r>
      <w:r w:rsidRPr="00E951F4">
        <w:rPr>
          <w:rFonts w:eastAsiaTheme="minorHAnsi"/>
          <w:sz w:val="26"/>
          <w:szCs w:val="26"/>
        </w:rPr>
        <w:t xml:space="preserve">We acknowledged the past difficulties associated with implementing TOU rates in a default service context.  Nevertheless, we noted that as EV usage will increase in the future and will increase during the timeframe covered by the upcoming DSPs, TOU rates in the context of EV expansion should be considered.  As such, we </w:t>
      </w:r>
      <w:r w:rsidR="005626AB" w:rsidRPr="00E951F4">
        <w:rPr>
          <w:rFonts w:eastAsiaTheme="minorHAnsi"/>
          <w:sz w:val="26"/>
          <w:szCs w:val="26"/>
        </w:rPr>
        <w:t>“</w:t>
      </w:r>
      <w:r w:rsidRPr="00E951F4">
        <w:rPr>
          <w:rFonts w:eastAsiaTheme="minorHAnsi"/>
          <w:sz w:val="26"/>
          <w:szCs w:val="26"/>
        </w:rPr>
        <w:t xml:space="preserve">urge[d] all parties participating in the upcoming DSP proceedings to consider how EV specific TOU rate offerings could be made available to consumers.”  </w:t>
      </w:r>
      <w:r w:rsidRPr="00E951F4">
        <w:rPr>
          <w:rFonts w:eastAsiaTheme="minorHAnsi"/>
          <w:i/>
          <w:iCs/>
          <w:sz w:val="26"/>
          <w:szCs w:val="26"/>
        </w:rPr>
        <w:t>January 23, 2020 Secretarial Letter</w:t>
      </w:r>
      <w:r w:rsidRPr="00E951F4">
        <w:rPr>
          <w:rFonts w:eastAsiaTheme="minorHAnsi"/>
          <w:sz w:val="26"/>
          <w:szCs w:val="26"/>
        </w:rPr>
        <w:t xml:space="preserve"> at</w:t>
      </w:r>
      <w:r w:rsidR="00691B03" w:rsidRPr="00E951F4">
        <w:rPr>
          <w:rFonts w:eastAsiaTheme="minorHAnsi"/>
          <w:sz w:val="26"/>
          <w:szCs w:val="26"/>
        </w:rPr>
        <w:t> </w:t>
      </w:r>
      <w:r w:rsidRPr="00E951F4">
        <w:rPr>
          <w:rFonts w:eastAsiaTheme="minorHAnsi"/>
          <w:sz w:val="26"/>
          <w:szCs w:val="26"/>
        </w:rPr>
        <w:t>6-7.</w:t>
      </w:r>
    </w:p>
    <w:p w14:paraId="0E564674" w14:textId="77777777" w:rsidR="0069108B" w:rsidRPr="00E951F4" w:rsidRDefault="0069108B" w:rsidP="00E951F4">
      <w:pPr>
        <w:widowControl/>
        <w:spacing w:line="360" w:lineRule="auto"/>
        <w:rPr>
          <w:rFonts w:eastAsiaTheme="minorHAnsi"/>
          <w:sz w:val="26"/>
          <w:szCs w:val="26"/>
        </w:rPr>
      </w:pPr>
    </w:p>
    <w:p w14:paraId="1ED99155" w14:textId="0D19CF2D" w:rsidR="0069108B" w:rsidRPr="00E951F4" w:rsidRDefault="0069108B" w:rsidP="00E951F4">
      <w:pPr>
        <w:widowControl/>
        <w:spacing w:line="360" w:lineRule="auto"/>
        <w:rPr>
          <w:rFonts w:eastAsiaTheme="minorHAnsi"/>
          <w:sz w:val="26"/>
          <w:szCs w:val="26"/>
        </w:rPr>
      </w:pPr>
      <w:r w:rsidRPr="00E951F4">
        <w:rPr>
          <w:rFonts w:eastAsiaTheme="minorHAnsi"/>
          <w:sz w:val="26"/>
          <w:szCs w:val="26"/>
        </w:rPr>
        <w:tab/>
      </w:r>
      <w:r w:rsidRPr="00E951F4">
        <w:rPr>
          <w:rFonts w:eastAsiaTheme="minorHAnsi"/>
          <w:sz w:val="26"/>
          <w:szCs w:val="26"/>
        </w:rPr>
        <w:tab/>
        <w:t xml:space="preserve">The record in this case is replete with evidence supporting the benefits and the need for Duquesne Light’s proposed EV-TOU </w:t>
      </w:r>
      <w:r w:rsidR="008205CE" w:rsidRPr="00E951F4">
        <w:rPr>
          <w:rFonts w:eastAsiaTheme="minorHAnsi"/>
          <w:sz w:val="26"/>
          <w:szCs w:val="26"/>
        </w:rPr>
        <w:t>R</w:t>
      </w:r>
      <w:r w:rsidRPr="00E951F4">
        <w:rPr>
          <w:rFonts w:eastAsiaTheme="minorHAnsi"/>
          <w:sz w:val="26"/>
          <w:szCs w:val="26"/>
        </w:rPr>
        <w:t xml:space="preserve">ate offering.  Duquesne Light witness Katherine Scholl, Duquesne Light Director of Customer Experience, testified that EVs are an ideal flexible load because they are parked most of the time and can be easily programmed to begin charging at pre-defined times.  Ms. Scholl explained that as the number of EVs registered in the Company’s territory is projected to grow from over 3,000 EVs today to an estimated 18,500 EVs by the end of 2025, the electric load associated with EVs is also expected to grow.  Duquesne Light St. 5 at 20.  As this load expands, the Company wants to optimize existing grid and generation capacity by shifting EV charging to off-peak times and anticipates that flattening the growing EV load will help reduce the need for additional distribution upgrades, resulting in benefits to all distribution customers and not only customers on the EV-TOU rate.  </w:t>
      </w:r>
      <w:r w:rsidRPr="00E951F4">
        <w:rPr>
          <w:rFonts w:eastAsiaTheme="minorHAnsi"/>
          <w:i/>
          <w:iCs/>
          <w:sz w:val="26"/>
          <w:szCs w:val="26"/>
        </w:rPr>
        <w:t>Id</w:t>
      </w:r>
      <w:r w:rsidRPr="00E951F4">
        <w:rPr>
          <w:rFonts w:eastAsiaTheme="minorHAnsi"/>
          <w:sz w:val="26"/>
          <w:szCs w:val="26"/>
        </w:rPr>
        <w:t>. at 20-21.  Ms.</w:t>
      </w:r>
      <w:r w:rsidR="00171FD8">
        <w:rPr>
          <w:rFonts w:eastAsiaTheme="minorHAnsi"/>
          <w:sz w:val="26"/>
          <w:szCs w:val="26"/>
        </w:rPr>
        <w:t> </w:t>
      </w:r>
      <w:r w:rsidRPr="00E951F4">
        <w:rPr>
          <w:rFonts w:eastAsiaTheme="minorHAnsi"/>
          <w:sz w:val="26"/>
          <w:szCs w:val="26"/>
        </w:rPr>
        <w:t xml:space="preserve">Scholl also explained that by offering lower supply rates during the off-peak period when underlying electricity supply costs are usually lower, the EV-TOU Pilot Program is designed to reduce the costs to customers by encouraging them to shift their charging time, which, in turn, can benefit all customers by decreasing the proportion of higher-priced, on peak energy needed to serve default service customers.  </w:t>
      </w:r>
      <w:r w:rsidRPr="00E951F4">
        <w:rPr>
          <w:rFonts w:eastAsiaTheme="minorHAnsi"/>
          <w:i/>
          <w:iCs/>
          <w:sz w:val="26"/>
          <w:szCs w:val="26"/>
        </w:rPr>
        <w:t>Id</w:t>
      </w:r>
      <w:r w:rsidRPr="00E951F4">
        <w:rPr>
          <w:rFonts w:eastAsiaTheme="minorHAnsi"/>
          <w:sz w:val="26"/>
          <w:szCs w:val="26"/>
        </w:rPr>
        <w:t>. at 21.</w:t>
      </w:r>
    </w:p>
    <w:p w14:paraId="1BA91E68" w14:textId="77777777" w:rsidR="0069108B" w:rsidRPr="00E951F4" w:rsidRDefault="0069108B" w:rsidP="00E951F4">
      <w:pPr>
        <w:widowControl/>
        <w:spacing w:line="360" w:lineRule="auto"/>
        <w:rPr>
          <w:rFonts w:eastAsiaTheme="minorHAnsi"/>
          <w:sz w:val="26"/>
          <w:szCs w:val="26"/>
        </w:rPr>
      </w:pPr>
    </w:p>
    <w:p w14:paraId="42003BEC" w14:textId="1D1BB8B0" w:rsidR="0069108B" w:rsidRPr="00E951F4" w:rsidRDefault="0069108B" w:rsidP="00E951F4">
      <w:pPr>
        <w:widowControl/>
        <w:spacing w:line="360" w:lineRule="auto"/>
        <w:rPr>
          <w:rFonts w:eastAsiaTheme="minorHAnsi"/>
          <w:sz w:val="26"/>
          <w:szCs w:val="26"/>
        </w:rPr>
      </w:pPr>
      <w:r w:rsidRPr="00E951F4">
        <w:rPr>
          <w:rFonts w:eastAsiaTheme="minorHAnsi"/>
          <w:sz w:val="26"/>
          <w:szCs w:val="26"/>
        </w:rPr>
        <w:tab/>
      </w:r>
      <w:r w:rsidRPr="00E951F4">
        <w:rPr>
          <w:rFonts w:eastAsiaTheme="minorHAnsi"/>
          <w:sz w:val="26"/>
          <w:szCs w:val="26"/>
        </w:rPr>
        <w:tab/>
        <w:t xml:space="preserve">Ms. Scholl also testified regarding the various environmental and economic benefits associated with EVs.  Ms. Scholl stated that greater use of EVs can help reduce </w:t>
      </w:r>
      <w:r w:rsidRPr="00E951F4">
        <w:rPr>
          <w:rFonts w:eastAsiaTheme="minorHAnsi"/>
          <w:sz w:val="26"/>
          <w:szCs w:val="26"/>
        </w:rPr>
        <w:lastRenderedPageBreak/>
        <w:t xml:space="preserve">GHG emissions because </w:t>
      </w:r>
      <w:r w:rsidR="00444649" w:rsidRPr="00E951F4">
        <w:rPr>
          <w:rFonts w:eastAsiaTheme="minorHAnsi"/>
          <w:sz w:val="26"/>
          <w:szCs w:val="26"/>
        </w:rPr>
        <w:t xml:space="preserve">charging </w:t>
      </w:r>
      <w:r w:rsidRPr="00E951F4">
        <w:rPr>
          <w:rFonts w:eastAsiaTheme="minorHAnsi"/>
          <w:sz w:val="26"/>
          <w:szCs w:val="26"/>
        </w:rPr>
        <w:t xml:space="preserve">EVs in Pennsylvania are estimated to emit one-third of the GHG emissions of gasoline-fueled vehicles and produce no tailpipe emissions, helping to improve local air quality.  Ms. Scholl explained that because of the greater fuel efficiency and lower maintenance requirements of EVs, drivers of EVs will save on maintenance and fuel costs over the lifetime of their vehicles, producing economic benefits for drivers and companies deploying EVs in their fleets.  </w:t>
      </w:r>
      <w:r w:rsidRPr="00E951F4">
        <w:rPr>
          <w:rFonts w:eastAsiaTheme="minorHAnsi"/>
          <w:i/>
          <w:iCs/>
          <w:sz w:val="26"/>
          <w:szCs w:val="26"/>
        </w:rPr>
        <w:t>Id</w:t>
      </w:r>
      <w:r w:rsidRPr="00E951F4">
        <w:rPr>
          <w:rFonts w:eastAsiaTheme="minorHAnsi"/>
          <w:sz w:val="26"/>
          <w:szCs w:val="26"/>
        </w:rPr>
        <w:t xml:space="preserve">.  The Company’s EV-TOU </w:t>
      </w:r>
      <w:r w:rsidR="00C625EA" w:rsidRPr="00E951F4">
        <w:rPr>
          <w:rFonts w:eastAsiaTheme="minorHAnsi"/>
          <w:sz w:val="26"/>
          <w:szCs w:val="26"/>
        </w:rPr>
        <w:t>R</w:t>
      </w:r>
      <w:r w:rsidRPr="00E951F4">
        <w:rPr>
          <w:rFonts w:eastAsiaTheme="minorHAnsi"/>
          <w:sz w:val="26"/>
          <w:szCs w:val="26"/>
        </w:rPr>
        <w:t xml:space="preserve">ate encourages EV adoption by helping to lower the total cost of ownership for EV drivers, particularly for fleets.  Ms. Scholl noted that since cost continues to be an impediment to more wide-spread EV adoption, the Company’s goal is to give customers additional tools to lower the costs of EV fueling by providing more rate flexibility.  </w:t>
      </w:r>
      <w:r w:rsidRPr="00E951F4">
        <w:rPr>
          <w:rFonts w:eastAsiaTheme="minorHAnsi"/>
          <w:i/>
          <w:iCs/>
          <w:sz w:val="26"/>
          <w:szCs w:val="26"/>
        </w:rPr>
        <w:t>Id</w:t>
      </w:r>
      <w:r w:rsidRPr="00E951F4">
        <w:rPr>
          <w:rFonts w:eastAsiaTheme="minorHAnsi"/>
          <w:sz w:val="26"/>
          <w:szCs w:val="26"/>
        </w:rPr>
        <w:t>. at</w:t>
      </w:r>
      <w:r w:rsidR="00691B03" w:rsidRPr="00E951F4">
        <w:rPr>
          <w:rFonts w:eastAsiaTheme="minorHAnsi"/>
          <w:sz w:val="26"/>
          <w:szCs w:val="26"/>
        </w:rPr>
        <w:t> </w:t>
      </w:r>
      <w:r w:rsidRPr="00E951F4">
        <w:rPr>
          <w:rFonts w:eastAsiaTheme="minorHAnsi"/>
          <w:sz w:val="26"/>
          <w:szCs w:val="26"/>
        </w:rPr>
        <w:t xml:space="preserve">22.  </w:t>
      </w:r>
    </w:p>
    <w:p w14:paraId="1E0792CB" w14:textId="77777777" w:rsidR="0069108B" w:rsidRPr="00E951F4" w:rsidRDefault="0069108B" w:rsidP="00E951F4">
      <w:pPr>
        <w:widowControl/>
        <w:spacing w:line="360" w:lineRule="auto"/>
        <w:rPr>
          <w:rFonts w:eastAsiaTheme="minorHAnsi"/>
          <w:sz w:val="26"/>
          <w:szCs w:val="26"/>
        </w:rPr>
      </w:pPr>
    </w:p>
    <w:p w14:paraId="23974938" w14:textId="11DBFA7E" w:rsidR="0069108B" w:rsidRPr="00E951F4" w:rsidRDefault="0069108B" w:rsidP="00E951F4">
      <w:pPr>
        <w:widowControl/>
        <w:spacing w:line="360" w:lineRule="auto"/>
        <w:ind w:firstLine="1440"/>
        <w:rPr>
          <w:rFonts w:eastAsiaTheme="minorHAnsi"/>
          <w:sz w:val="26"/>
          <w:szCs w:val="26"/>
        </w:rPr>
      </w:pPr>
      <w:r w:rsidRPr="00E951F4">
        <w:rPr>
          <w:rFonts w:eastAsiaTheme="minorHAnsi"/>
          <w:sz w:val="26"/>
          <w:szCs w:val="26"/>
        </w:rPr>
        <w:t xml:space="preserve">NRDC’s witness Kathleen Harris, a Clean Vehicles and Fuels Advocate for NRDC, similarly testified in great detail about the benefits of the Company shifting EV charging to off-peak hours.  Ms. Harris stated that this can lower electricity bills for all customers, reduce operating costs for EV drivers, and drive down GHG emissions.  Ms. Harris explained that if EV charging load is properly managed, the net present value of cumulative benefits from greater EV use in Pennsylvania could exceed $8 billion by 2050.  NRDC St. 1 at 4.  Ms. Harris also explained that $1.3 billion will accrue to electric utility customers in the form of reduced electric bills; $4.6 billion will accrue directly to Pennsylvania drivers in the form of reduced annual vehicle operating costs; and $2.2 billion will accrue to society as the monetized value of reduced GHG emissions. </w:t>
      </w:r>
      <w:r w:rsidR="005A1DCF" w:rsidRPr="00E951F4">
        <w:rPr>
          <w:rFonts w:eastAsiaTheme="minorHAnsi"/>
          <w:sz w:val="26"/>
          <w:szCs w:val="26"/>
        </w:rPr>
        <w:t xml:space="preserve"> </w:t>
      </w:r>
      <w:r w:rsidRPr="00E951F4">
        <w:rPr>
          <w:rFonts w:eastAsiaTheme="minorHAnsi"/>
          <w:i/>
          <w:iCs/>
          <w:sz w:val="26"/>
          <w:szCs w:val="26"/>
        </w:rPr>
        <w:t>Id</w:t>
      </w:r>
      <w:r w:rsidRPr="00E951F4">
        <w:rPr>
          <w:rFonts w:eastAsiaTheme="minorHAnsi"/>
          <w:sz w:val="26"/>
          <w:szCs w:val="26"/>
        </w:rPr>
        <w:t>. at</w:t>
      </w:r>
      <w:r w:rsidR="00171FD8">
        <w:rPr>
          <w:rFonts w:eastAsiaTheme="minorHAnsi"/>
          <w:sz w:val="26"/>
          <w:szCs w:val="26"/>
        </w:rPr>
        <w:t> </w:t>
      </w:r>
      <w:r w:rsidRPr="00E951F4">
        <w:rPr>
          <w:rFonts w:eastAsiaTheme="minorHAnsi"/>
          <w:sz w:val="26"/>
          <w:szCs w:val="26"/>
        </w:rPr>
        <w:t>4</w:t>
      </w:r>
      <w:r w:rsidR="00171FD8">
        <w:rPr>
          <w:rFonts w:eastAsiaTheme="minorHAnsi"/>
          <w:sz w:val="26"/>
          <w:szCs w:val="26"/>
        </w:rPr>
        <w:noBreakHyphen/>
      </w:r>
      <w:r w:rsidRPr="00E951F4">
        <w:rPr>
          <w:rFonts w:eastAsiaTheme="minorHAnsi"/>
          <w:sz w:val="26"/>
          <w:szCs w:val="26"/>
        </w:rPr>
        <w:t xml:space="preserve">6.  None of the Parties in this proceeding have presented evidence to refute the many benefits of and the need for the EV-TOU rate, nor are there any other TOU rate proposals on the record.  </w:t>
      </w:r>
    </w:p>
    <w:p w14:paraId="7DE0AA27" w14:textId="19CAF1A0" w:rsidR="0069108B" w:rsidRPr="00E951F4" w:rsidRDefault="0069108B" w:rsidP="00E951F4">
      <w:pPr>
        <w:widowControl/>
        <w:spacing w:line="360" w:lineRule="auto"/>
        <w:rPr>
          <w:rFonts w:eastAsiaTheme="minorHAnsi"/>
          <w:sz w:val="26"/>
          <w:szCs w:val="26"/>
        </w:rPr>
      </w:pPr>
    </w:p>
    <w:p w14:paraId="2EEC9EF1" w14:textId="19A440E6" w:rsidR="0069108B" w:rsidRPr="00E951F4" w:rsidRDefault="0069108B" w:rsidP="00E951F4">
      <w:pPr>
        <w:widowControl/>
        <w:spacing w:line="360" w:lineRule="auto"/>
        <w:rPr>
          <w:rFonts w:eastAsiaTheme="minorHAnsi"/>
          <w:sz w:val="26"/>
          <w:szCs w:val="26"/>
        </w:rPr>
      </w:pPr>
      <w:r w:rsidRPr="00E951F4">
        <w:rPr>
          <w:rFonts w:eastAsiaTheme="minorHAnsi"/>
          <w:sz w:val="26"/>
          <w:szCs w:val="26"/>
        </w:rPr>
        <w:tab/>
      </w:r>
      <w:r w:rsidRPr="00E951F4">
        <w:rPr>
          <w:rFonts w:eastAsiaTheme="minorHAnsi"/>
          <w:sz w:val="26"/>
          <w:szCs w:val="26"/>
        </w:rPr>
        <w:tab/>
        <w:t xml:space="preserve">There is also no evidence in this proceeding that an EGS is currently offering an EV-TOU rate (Duquesne Light St. 5-R at 22; EGS </w:t>
      </w:r>
      <w:r w:rsidR="0080371A" w:rsidRPr="00E951F4">
        <w:rPr>
          <w:rFonts w:eastAsiaTheme="minorHAnsi"/>
          <w:sz w:val="26"/>
          <w:szCs w:val="26"/>
        </w:rPr>
        <w:t>Parties</w:t>
      </w:r>
      <w:r w:rsidRPr="00E951F4">
        <w:rPr>
          <w:rFonts w:eastAsiaTheme="minorHAnsi"/>
          <w:sz w:val="26"/>
          <w:szCs w:val="26"/>
        </w:rPr>
        <w:t xml:space="preserve">’ Exh. KMS-IR) or that the Company is somehow inappropriately competing with </w:t>
      </w:r>
      <w:r w:rsidR="00C853A8" w:rsidRPr="00E951F4">
        <w:rPr>
          <w:rFonts w:eastAsiaTheme="minorHAnsi"/>
          <w:sz w:val="26"/>
          <w:szCs w:val="26"/>
        </w:rPr>
        <w:t xml:space="preserve">the </w:t>
      </w:r>
      <w:r w:rsidRPr="00E951F4">
        <w:rPr>
          <w:rFonts w:eastAsiaTheme="minorHAnsi"/>
          <w:sz w:val="26"/>
          <w:szCs w:val="26"/>
        </w:rPr>
        <w:t xml:space="preserve">EGSs.  The </w:t>
      </w:r>
      <w:r w:rsidRPr="00E951F4">
        <w:rPr>
          <w:rFonts w:eastAsiaTheme="minorHAnsi"/>
          <w:sz w:val="26"/>
          <w:szCs w:val="26"/>
        </w:rPr>
        <w:lastRenderedPageBreak/>
        <w:t xml:space="preserve">Company’s proposal does not prevent the competitive supplier market from implementing EV-TOU rates or other programs that will shift charging to off-peak hours.  Duquesne Light testified that it has supported and will continue to support EGS-offered EV-TOU programs in its service territory, and </w:t>
      </w:r>
      <w:r w:rsidR="00C853A8" w:rsidRPr="00E951F4">
        <w:rPr>
          <w:rFonts w:eastAsiaTheme="minorHAnsi"/>
          <w:sz w:val="26"/>
          <w:szCs w:val="26"/>
        </w:rPr>
        <w:t xml:space="preserve">the </w:t>
      </w:r>
      <w:r w:rsidRPr="00E951F4">
        <w:rPr>
          <w:rFonts w:eastAsiaTheme="minorHAnsi"/>
          <w:sz w:val="26"/>
          <w:szCs w:val="26"/>
        </w:rPr>
        <w:t xml:space="preserve">EGSs that wish to offer an EV-TOU rate in the Company’s service territory may do so using the Company’s dual-billing or consolidated bill-ready billing options.  Duquesne Light St. 5-R at 22.  </w:t>
      </w:r>
      <w:r w:rsidR="00D23CC7" w:rsidRPr="00E951F4">
        <w:rPr>
          <w:rFonts w:eastAsiaTheme="minorHAnsi"/>
          <w:sz w:val="26"/>
          <w:szCs w:val="26"/>
        </w:rPr>
        <w:t>For all of these reasons, we shall deny the EGS Parties’ Exception and adopt the ALJ’s recommendation on this issue.</w:t>
      </w:r>
      <w:r w:rsidRPr="00E951F4">
        <w:rPr>
          <w:rFonts w:eastAsiaTheme="minorHAnsi"/>
          <w:sz w:val="26"/>
          <w:szCs w:val="26"/>
        </w:rPr>
        <w:t xml:space="preserve">  </w:t>
      </w:r>
    </w:p>
    <w:p w14:paraId="469A584B" w14:textId="77777777" w:rsidR="0069108B" w:rsidRPr="00E951F4" w:rsidRDefault="0069108B" w:rsidP="00E951F4">
      <w:pPr>
        <w:widowControl/>
        <w:spacing w:line="360" w:lineRule="auto"/>
        <w:rPr>
          <w:rFonts w:eastAsiaTheme="minorHAnsi"/>
          <w:sz w:val="26"/>
          <w:szCs w:val="26"/>
        </w:rPr>
      </w:pPr>
    </w:p>
    <w:p w14:paraId="2F4C0754" w14:textId="2092DB04" w:rsidR="00110C8B" w:rsidRPr="00E951F4" w:rsidRDefault="002A307E" w:rsidP="00E951F4">
      <w:pPr>
        <w:pStyle w:val="Heading2"/>
        <w:spacing w:line="360" w:lineRule="auto"/>
      </w:pPr>
      <w:bookmarkStart w:id="92" w:name="_Toc59620149"/>
      <w:bookmarkStart w:id="93" w:name="_Toc60912045"/>
      <w:r>
        <w:t>C</w:t>
      </w:r>
      <w:r w:rsidR="0018648A" w:rsidRPr="00E951F4">
        <w:t>.</w:t>
      </w:r>
      <w:r w:rsidR="004C0C95" w:rsidRPr="00E951F4">
        <w:tab/>
      </w:r>
      <w:r w:rsidR="00F438BC" w:rsidRPr="00E951F4">
        <w:t>Solar PPA Proposal</w:t>
      </w:r>
      <w:bookmarkEnd w:id="92"/>
      <w:bookmarkEnd w:id="93"/>
      <w:r w:rsidR="00F438BC" w:rsidRPr="00E951F4">
        <w:t xml:space="preserve"> </w:t>
      </w:r>
    </w:p>
    <w:p w14:paraId="322786CB" w14:textId="77777777" w:rsidR="00F438BC" w:rsidRPr="00E951F4" w:rsidRDefault="00F438BC" w:rsidP="00E951F4">
      <w:pPr>
        <w:keepNext/>
        <w:widowControl/>
        <w:spacing w:line="360" w:lineRule="auto"/>
        <w:rPr>
          <w:b/>
          <w:bCs/>
          <w:sz w:val="26"/>
          <w:szCs w:val="26"/>
        </w:rPr>
      </w:pPr>
    </w:p>
    <w:p w14:paraId="092F2EBA" w14:textId="77777777" w:rsidR="00EC3121" w:rsidRPr="00E951F4" w:rsidRDefault="0023362C" w:rsidP="00E951F4">
      <w:pPr>
        <w:pStyle w:val="Heading3"/>
        <w:numPr>
          <w:ilvl w:val="0"/>
          <w:numId w:val="44"/>
        </w:numPr>
        <w:ind w:left="1440" w:hanging="720"/>
      </w:pPr>
      <w:bookmarkStart w:id="94" w:name="_Toc59620150"/>
      <w:bookmarkStart w:id="95" w:name="_Toc60912046"/>
      <w:r w:rsidRPr="00E951F4">
        <w:t>Positions of the Parties</w:t>
      </w:r>
      <w:bookmarkEnd w:id="94"/>
      <w:bookmarkEnd w:id="95"/>
    </w:p>
    <w:p w14:paraId="27EECF3A" w14:textId="77777777" w:rsidR="00EC3121" w:rsidRPr="00E951F4" w:rsidRDefault="00EC3121" w:rsidP="00E951F4">
      <w:pPr>
        <w:keepNext/>
        <w:widowControl/>
        <w:spacing w:line="360" w:lineRule="auto"/>
        <w:rPr>
          <w:b/>
          <w:bCs/>
          <w:sz w:val="26"/>
          <w:szCs w:val="26"/>
        </w:rPr>
      </w:pPr>
    </w:p>
    <w:p w14:paraId="12CFC428" w14:textId="06D802C4" w:rsidR="00851043" w:rsidRPr="00E951F4" w:rsidRDefault="00360642" w:rsidP="00171FD8">
      <w:pPr>
        <w:keepNext/>
        <w:widowControl/>
        <w:spacing w:line="360" w:lineRule="auto"/>
        <w:ind w:left="720" w:firstLine="720"/>
        <w:rPr>
          <w:b/>
          <w:bCs/>
          <w:sz w:val="26"/>
          <w:szCs w:val="26"/>
        </w:rPr>
      </w:pPr>
      <w:r w:rsidRPr="00E951F4">
        <w:rPr>
          <w:b/>
          <w:bCs/>
          <w:sz w:val="26"/>
          <w:szCs w:val="26"/>
        </w:rPr>
        <w:t>Duquesne Light</w:t>
      </w:r>
    </w:p>
    <w:p w14:paraId="71E2A538" w14:textId="77777777" w:rsidR="00360642" w:rsidRPr="00E951F4" w:rsidRDefault="00360642" w:rsidP="00E951F4">
      <w:pPr>
        <w:keepNext/>
        <w:widowControl/>
        <w:spacing w:line="360" w:lineRule="auto"/>
        <w:ind w:firstLine="1440"/>
        <w:rPr>
          <w:sz w:val="26"/>
          <w:szCs w:val="26"/>
        </w:rPr>
      </w:pPr>
    </w:p>
    <w:p w14:paraId="1A65C436" w14:textId="1B9D3567" w:rsidR="0023362C" w:rsidRPr="00E951F4" w:rsidRDefault="0023362C" w:rsidP="00E951F4">
      <w:pPr>
        <w:keepNext/>
        <w:widowControl/>
        <w:spacing w:line="360" w:lineRule="auto"/>
        <w:ind w:firstLine="1440"/>
        <w:rPr>
          <w:sz w:val="26"/>
          <w:szCs w:val="26"/>
        </w:rPr>
      </w:pPr>
      <w:r w:rsidRPr="00E951F4">
        <w:rPr>
          <w:sz w:val="26"/>
          <w:szCs w:val="26"/>
        </w:rPr>
        <w:t xml:space="preserve">Duquesne Light requested pre-approval from the Commission to seek to enter into a long-term </w:t>
      </w:r>
      <w:r w:rsidR="00C82415" w:rsidRPr="00E951F4">
        <w:rPr>
          <w:sz w:val="26"/>
          <w:szCs w:val="26"/>
        </w:rPr>
        <w:t>Solar PPA</w:t>
      </w:r>
      <w:r w:rsidRPr="00E951F4">
        <w:rPr>
          <w:sz w:val="26"/>
          <w:szCs w:val="26"/>
        </w:rPr>
        <w:t xml:space="preserve"> </w:t>
      </w:r>
      <w:r w:rsidR="00C82415" w:rsidRPr="00E951F4">
        <w:rPr>
          <w:sz w:val="26"/>
          <w:szCs w:val="26"/>
        </w:rPr>
        <w:t xml:space="preserve">(more than four but less than twenty years) </w:t>
      </w:r>
      <w:r w:rsidRPr="00E951F4">
        <w:rPr>
          <w:sz w:val="26"/>
          <w:szCs w:val="26"/>
        </w:rPr>
        <w:t xml:space="preserve">in order to support a utility-scale solar project of up to </w:t>
      </w:r>
      <w:r w:rsidR="0099788D" w:rsidRPr="00E951F4">
        <w:rPr>
          <w:sz w:val="26"/>
          <w:szCs w:val="26"/>
        </w:rPr>
        <w:t xml:space="preserve">seven </w:t>
      </w:r>
      <w:r w:rsidRPr="00E951F4">
        <w:rPr>
          <w:sz w:val="26"/>
          <w:szCs w:val="26"/>
        </w:rPr>
        <w:t xml:space="preserve">MW in Pennsylvania.  The Company intends to purchase the AECs from this facility in order to meet its Alternative Energy Portfolio Standards (AEPS) requirements. </w:t>
      </w:r>
      <w:r w:rsidR="00403A36" w:rsidRPr="00E951F4">
        <w:rPr>
          <w:sz w:val="26"/>
          <w:szCs w:val="26"/>
        </w:rPr>
        <w:t xml:space="preserve"> </w:t>
      </w:r>
      <w:r w:rsidRPr="00E951F4">
        <w:rPr>
          <w:sz w:val="26"/>
          <w:szCs w:val="26"/>
        </w:rPr>
        <w:t xml:space="preserve">The Company also intends to acquire the energy from this facility and will sell this energy back into the PJM market on a real-time basis and credit these revenues back to default service customers. </w:t>
      </w:r>
      <w:r w:rsidR="00AC4910" w:rsidRPr="00E951F4">
        <w:rPr>
          <w:sz w:val="26"/>
          <w:szCs w:val="26"/>
        </w:rPr>
        <w:t xml:space="preserve"> </w:t>
      </w:r>
      <w:r w:rsidRPr="00E951F4">
        <w:rPr>
          <w:sz w:val="26"/>
          <w:szCs w:val="26"/>
        </w:rPr>
        <w:t>The Company plans to assess the potential of also purchasing the capacity and ancillary services from the facility, but it has not made a final determination o</w:t>
      </w:r>
      <w:r w:rsidR="00AC4910" w:rsidRPr="00E951F4">
        <w:rPr>
          <w:sz w:val="26"/>
          <w:szCs w:val="26"/>
        </w:rPr>
        <w:t>n</w:t>
      </w:r>
      <w:r w:rsidRPr="00E951F4">
        <w:rPr>
          <w:sz w:val="26"/>
          <w:szCs w:val="26"/>
        </w:rPr>
        <w:t xml:space="preserve"> this issue.  Duquesne Light St.</w:t>
      </w:r>
      <w:r w:rsidR="00AC4910" w:rsidRPr="00E951F4">
        <w:rPr>
          <w:sz w:val="26"/>
          <w:szCs w:val="26"/>
        </w:rPr>
        <w:t xml:space="preserve"> </w:t>
      </w:r>
      <w:r w:rsidRPr="00E951F4">
        <w:rPr>
          <w:sz w:val="26"/>
          <w:szCs w:val="26"/>
        </w:rPr>
        <w:t>1 at</w:t>
      </w:r>
      <w:r w:rsidR="00171FD8">
        <w:rPr>
          <w:sz w:val="26"/>
          <w:szCs w:val="26"/>
        </w:rPr>
        <w:t> </w:t>
      </w:r>
      <w:r w:rsidRPr="00E951F4">
        <w:rPr>
          <w:sz w:val="26"/>
          <w:szCs w:val="26"/>
        </w:rPr>
        <w:t>13</w:t>
      </w:r>
      <w:r w:rsidR="00C82415" w:rsidRPr="00E951F4">
        <w:rPr>
          <w:sz w:val="26"/>
          <w:szCs w:val="26"/>
        </w:rPr>
        <w:t>,</w:t>
      </w:r>
      <w:r w:rsidRPr="00E951F4">
        <w:rPr>
          <w:sz w:val="26"/>
          <w:szCs w:val="26"/>
        </w:rPr>
        <w:t xml:space="preserve"> 15; Duquesne Light M.B. at 25.  </w:t>
      </w:r>
    </w:p>
    <w:p w14:paraId="4D25150C" w14:textId="77777777" w:rsidR="0023362C" w:rsidRPr="00E951F4" w:rsidRDefault="0023362C" w:rsidP="00E951F4">
      <w:pPr>
        <w:widowControl/>
        <w:spacing w:line="360" w:lineRule="auto"/>
        <w:ind w:firstLine="1440"/>
        <w:rPr>
          <w:sz w:val="26"/>
          <w:szCs w:val="26"/>
        </w:rPr>
      </w:pPr>
    </w:p>
    <w:p w14:paraId="22A54780" w14:textId="71B0E76E" w:rsidR="0023362C" w:rsidRPr="00E951F4" w:rsidRDefault="00E05C93" w:rsidP="00E951F4">
      <w:pPr>
        <w:widowControl/>
        <w:spacing w:line="360" w:lineRule="auto"/>
        <w:ind w:firstLine="1440"/>
        <w:rPr>
          <w:sz w:val="26"/>
          <w:szCs w:val="26"/>
        </w:rPr>
      </w:pPr>
      <w:r w:rsidRPr="00E951F4">
        <w:rPr>
          <w:sz w:val="26"/>
          <w:szCs w:val="26"/>
        </w:rPr>
        <w:t>According to Duquesne Light, t</w:t>
      </w:r>
      <w:r w:rsidR="0023362C" w:rsidRPr="00E951F4">
        <w:rPr>
          <w:sz w:val="26"/>
          <w:szCs w:val="26"/>
        </w:rPr>
        <w:t>he purposes of this long</w:t>
      </w:r>
      <w:r w:rsidR="00AA2CAE" w:rsidRPr="00E951F4">
        <w:rPr>
          <w:sz w:val="26"/>
          <w:szCs w:val="26"/>
        </w:rPr>
        <w:t>-</w:t>
      </w:r>
      <w:r w:rsidR="00A52D6A" w:rsidRPr="00E951F4">
        <w:rPr>
          <w:sz w:val="26"/>
          <w:szCs w:val="26"/>
        </w:rPr>
        <w:t>term Solar</w:t>
      </w:r>
      <w:r w:rsidR="0023362C" w:rsidRPr="00E951F4">
        <w:rPr>
          <w:sz w:val="26"/>
          <w:szCs w:val="26"/>
        </w:rPr>
        <w:t xml:space="preserve"> PPA are to</w:t>
      </w:r>
      <w:r w:rsidRPr="00E951F4">
        <w:rPr>
          <w:sz w:val="26"/>
          <w:szCs w:val="26"/>
        </w:rPr>
        <w:t>: (1)</w:t>
      </w:r>
      <w:r w:rsidR="0023362C" w:rsidRPr="00E951F4">
        <w:rPr>
          <w:sz w:val="26"/>
          <w:szCs w:val="26"/>
        </w:rPr>
        <w:t xml:space="preserve"> support the further development of solar energy in Pennsylvania, preferably in Duquesne Light’s service area</w:t>
      </w:r>
      <w:r w:rsidRPr="00E951F4">
        <w:rPr>
          <w:sz w:val="26"/>
          <w:szCs w:val="26"/>
        </w:rPr>
        <w:t>;</w:t>
      </w:r>
      <w:r w:rsidR="0023362C" w:rsidRPr="00E951F4">
        <w:rPr>
          <w:sz w:val="26"/>
          <w:szCs w:val="26"/>
        </w:rPr>
        <w:t xml:space="preserve"> and </w:t>
      </w:r>
      <w:r w:rsidRPr="00E951F4">
        <w:rPr>
          <w:sz w:val="26"/>
          <w:szCs w:val="26"/>
        </w:rPr>
        <w:t>(2)</w:t>
      </w:r>
      <w:r w:rsidR="0023362C" w:rsidRPr="00E951F4">
        <w:rPr>
          <w:sz w:val="26"/>
          <w:szCs w:val="26"/>
        </w:rPr>
        <w:t xml:space="preserve"> gain more information about the solar generation </w:t>
      </w:r>
      <w:r w:rsidR="0023362C" w:rsidRPr="00E951F4">
        <w:rPr>
          <w:sz w:val="26"/>
          <w:szCs w:val="26"/>
        </w:rPr>
        <w:lastRenderedPageBreak/>
        <w:t xml:space="preserve">market in Duquesne Light’s service area, while doing so in a limited quantity that mitigates risks associated with the </w:t>
      </w:r>
      <w:r w:rsidR="00DC63D4" w:rsidRPr="00E951F4">
        <w:rPr>
          <w:sz w:val="26"/>
          <w:szCs w:val="26"/>
        </w:rPr>
        <w:t>long-term</w:t>
      </w:r>
      <w:r w:rsidR="0023362C" w:rsidRPr="00E951F4">
        <w:rPr>
          <w:sz w:val="26"/>
          <w:szCs w:val="26"/>
        </w:rPr>
        <w:t xml:space="preserve"> commitment.  Duquesne Light intends to conduct a competitive solicitation for the </w:t>
      </w:r>
      <w:r w:rsidRPr="00E951F4">
        <w:rPr>
          <w:sz w:val="26"/>
          <w:szCs w:val="26"/>
        </w:rPr>
        <w:t xml:space="preserve">Solar </w:t>
      </w:r>
      <w:r w:rsidR="0023362C" w:rsidRPr="00E951F4">
        <w:rPr>
          <w:sz w:val="26"/>
          <w:szCs w:val="26"/>
        </w:rPr>
        <w:t xml:space="preserve">PPA sometime during the DSP IX period and report the results of the </w:t>
      </w:r>
      <w:r w:rsidR="001A0CFD" w:rsidRPr="00E951F4">
        <w:rPr>
          <w:sz w:val="26"/>
          <w:szCs w:val="26"/>
        </w:rPr>
        <w:t>S</w:t>
      </w:r>
      <w:r w:rsidR="0023362C" w:rsidRPr="00E951F4">
        <w:rPr>
          <w:sz w:val="26"/>
          <w:szCs w:val="26"/>
        </w:rPr>
        <w:t xml:space="preserve">olar PPA to the Commission for final approval before entering into the </w:t>
      </w:r>
      <w:r w:rsidRPr="00E951F4">
        <w:rPr>
          <w:sz w:val="26"/>
          <w:szCs w:val="26"/>
        </w:rPr>
        <w:t xml:space="preserve">Solar </w:t>
      </w:r>
      <w:r w:rsidR="0023362C" w:rsidRPr="00E951F4">
        <w:rPr>
          <w:sz w:val="26"/>
          <w:szCs w:val="26"/>
        </w:rPr>
        <w:t>PPA.  Duquesne Light St. 1 at 14</w:t>
      </w:r>
      <w:r w:rsidR="00C82415" w:rsidRPr="00E951F4">
        <w:rPr>
          <w:sz w:val="26"/>
          <w:szCs w:val="26"/>
        </w:rPr>
        <w:t>;</w:t>
      </w:r>
      <w:r w:rsidR="0023362C" w:rsidRPr="00E951F4">
        <w:rPr>
          <w:sz w:val="26"/>
          <w:szCs w:val="26"/>
        </w:rPr>
        <w:t xml:space="preserve"> Duquesne Light M.B. at 25.</w:t>
      </w:r>
    </w:p>
    <w:p w14:paraId="39B4C0AF" w14:textId="77777777" w:rsidR="0023362C" w:rsidRPr="00E951F4" w:rsidRDefault="0023362C" w:rsidP="00E951F4">
      <w:pPr>
        <w:widowControl/>
        <w:spacing w:line="360" w:lineRule="auto"/>
        <w:ind w:firstLine="1440"/>
        <w:rPr>
          <w:sz w:val="26"/>
          <w:szCs w:val="26"/>
        </w:rPr>
      </w:pPr>
    </w:p>
    <w:p w14:paraId="6650C27A" w14:textId="5EAEE507" w:rsidR="0023362C" w:rsidRPr="00E951F4" w:rsidRDefault="0023362C" w:rsidP="00171FD8">
      <w:pPr>
        <w:widowControl/>
        <w:spacing w:line="360" w:lineRule="auto"/>
        <w:ind w:firstLine="1440"/>
        <w:rPr>
          <w:sz w:val="26"/>
          <w:szCs w:val="26"/>
        </w:rPr>
      </w:pPr>
      <w:r w:rsidRPr="00E951F4">
        <w:rPr>
          <w:sz w:val="26"/>
          <w:szCs w:val="26"/>
        </w:rPr>
        <w:t xml:space="preserve">Duquesne Light contended that a long-term Solar PPA is one of the types of contracts that can be used to achieve the prudent mix requirements of Act 129, noting that Section 2807(e)(3.2) of the Code requires default service providers to enter into a prudent mix of contracts, such as spot market purchases, short-term contracts and long-term contracts.  </w:t>
      </w:r>
      <w:bookmarkStart w:id="96" w:name="_Hlk58503492"/>
      <w:r w:rsidRPr="00E951F4">
        <w:rPr>
          <w:sz w:val="26"/>
          <w:szCs w:val="26"/>
        </w:rPr>
        <w:t>66 Pa.</w:t>
      </w:r>
      <w:r w:rsidR="002419F7" w:rsidRPr="00E951F4">
        <w:rPr>
          <w:sz w:val="26"/>
          <w:szCs w:val="26"/>
        </w:rPr>
        <w:t xml:space="preserve"> </w:t>
      </w:r>
      <w:r w:rsidRPr="00E951F4">
        <w:rPr>
          <w:sz w:val="26"/>
          <w:szCs w:val="26"/>
        </w:rPr>
        <w:t xml:space="preserve">C.S. § 2807(e)(3.2).  </w:t>
      </w:r>
      <w:bookmarkEnd w:id="96"/>
      <w:r w:rsidRPr="00E951F4">
        <w:rPr>
          <w:sz w:val="26"/>
          <w:szCs w:val="26"/>
        </w:rPr>
        <w:t xml:space="preserve">The statute further defines long-term contracts </w:t>
      </w:r>
      <w:r w:rsidR="002419F7" w:rsidRPr="00E951F4">
        <w:rPr>
          <w:sz w:val="26"/>
          <w:szCs w:val="26"/>
        </w:rPr>
        <w:t xml:space="preserve">as </w:t>
      </w:r>
      <w:r w:rsidRPr="00E951F4">
        <w:rPr>
          <w:sz w:val="26"/>
          <w:szCs w:val="26"/>
        </w:rPr>
        <w:t xml:space="preserve">more than </w:t>
      </w:r>
      <w:r w:rsidR="002419F7" w:rsidRPr="00E951F4">
        <w:rPr>
          <w:sz w:val="26"/>
          <w:szCs w:val="26"/>
        </w:rPr>
        <w:t>four</w:t>
      </w:r>
      <w:r w:rsidRPr="00E951F4">
        <w:rPr>
          <w:sz w:val="26"/>
          <w:szCs w:val="26"/>
        </w:rPr>
        <w:t xml:space="preserve"> but not more than </w:t>
      </w:r>
      <w:r w:rsidR="002419F7" w:rsidRPr="00E951F4">
        <w:rPr>
          <w:sz w:val="26"/>
          <w:szCs w:val="26"/>
        </w:rPr>
        <w:t>twenty</w:t>
      </w:r>
      <w:r w:rsidRPr="00E951F4">
        <w:rPr>
          <w:sz w:val="26"/>
          <w:szCs w:val="26"/>
        </w:rPr>
        <w:t xml:space="preserve"> years.</w:t>
      </w:r>
      <w:r w:rsidR="0099788D" w:rsidRPr="00E951F4">
        <w:rPr>
          <w:sz w:val="26"/>
          <w:szCs w:val="26"/>
        </w:rPr>
        <w:t xml:space="preserve"> </w:t>
      </w:r>
      <w:r w:rsidR="004E04E5" w:rsidRPr="00E951F4">
        <w:rPr>
          <w:sz w:val="26"/>
          <w:szCs w:val="26"/>
        </w:rPr>
        <w:t xml:space="preserve"> </w:t>
      </w:r>
      <w:r w:rsidRPr="00E951F4">
        <w:rPr>
          <w:sz w:val="26"/>
          <w:szCs w:val="26"/>
        </w:rPr>
        <w:t>66 Pa.</w:t>
      </w:r>
      <w:r w:rsidR="002419F7" w:rsidRPr="00E951F4">
        <w:rPr>
          <w:sz w:val="26"/>
          <w:szCs w:val="26"/>
        </w:rPr>
        <w:t xml:space="preserve"> </w:t>
      </w:r>
      <w:r w:rsidRPr="00E951F4">
        <w:rPr>
          <w:sz w:val="26"/>
          <w:szCs w:val="26"/>
        </w:rPr>
        <w:t>C.S. §</w:t>
      </w:r>
      <w:r w:rsidR="00171FD8">
        <w:rPr>
          <w:sz w:val="26"/>
          <w:szCs w:val="26"/>
        </w:rPr>
        <w:t> </w:t>
      </w:r>
      <w:r w:rsidRPr="00E951F4">
        <w:rPr>
          <w:sz w:val="26"/>
          <w:szCs w:val="26"/>
        </w:rPr>
        <w:t>2807(e)(3.2)(iii).  Finally, the prudent mix of contracts shall be designed to ensure adequate and reliable service at the least cost to customers over time.  Duquesne Light M.B. at 25.</w:t>
      </w:r>
    </w:p>
    <w:p w14:paraId="4341B868" w14:textId="77777777" w:rsidR="0023362C" w:rsidRPr="00E951F4" w:rsidRDefault="0023362C" w:rsidP="00E951F4">
      <w:pPr>
        <w:widowControl/>
        <w:spacing w:line="360" w:lineRule="auto"/>
        <w:rPr>
          <w:sz w:val="26"/>
          <w:szCs w:val="26"/>
        </w:rPr>
      </w:pPr>
    </w:p>
    <w:p w14:paraId="4B4C51CF" w14:textId="684691AF" w:rsidR="0023362C" w:rsidRPr="00E951F4" w:rsidRDefault="0023362C" w:rsidP="00E951F4">
      <w:pPr>
        <w:widowControl/>
        <w:spacing w:line="360" w:lineRule="auto"/>
        <w:ind w:firstLine="1440"/>
        <w:rPr>
          <w:sz w:val="26"/>
          <w:szCs w:val="26"/>
        </w:rPr>
      </w:pPr>
      <w:r w:rsidRPr="00E951F4">
        <w:rPr>
          <w:sz w:val="26"/>
          <w:szCs w:val="26"/>
        </w:rPr>
        <w:t>In addition to its conclusion that a long</w:t>
      </w:r>
      <w:r w:rsidR="00E05C93" w:rsidRPr="00E951F4">
        <w:rPr>
          <w:sz w:val="26"/>
          <w:szCs w:val="26"/>
        </w:rPr>
        <w:t>-</w:t>
      </w:r>
      <w:r w:rsidRPr="00E951F4">
        <w:rPr>
          <w:sz w:val="26"/>
          <w:szCs w:val="26"/>
        </w:rPr>
        <w:t xml:space="preserve">term </w:t>
      </w:r>
      <w:r w:rsidR="0099788D" w:rsidRPr="00E951F4">
        <w:rPr>
          <w:sz w:val="26"/>
          <w:szCs w:val="26"/>
        </w:rPr>
        <w:t>seven</w:t>
      </w:r>
      <w:r w:rsidRPr="00E951F4">
        <w:rPr>
          <w:sz w:val="26"/>
          <w:szCs w:val="26"/>
        </w:rPr>
        <w:t xml:space="preserve"> MW Solar PPA is a necessary part of a prudent mix of supply contracts in this proceeding, Duquesne Light stated that it proposed the </w:t>
      </w:r>
      <w:r w:rsidR="0099788D" w:rsidRPr="00E951F4">
        <w:rPr>
          <w:sz w:val="26"/>
          <w:szCs w:val="26"/>
        </w:rPr>
        <w:t>S</w:t>
      </w:r>
      <w:r w:rsidRPr="00E951F4">
        <w:rPr>
          <w:sz w:val="26"/>
          <w:szCs w:val="26"/>
        </w:rPr>
        <w:t xml:space="preserve">olar PPA </w:t>
      </w:r>
      <w:r w:rsidR="0099788D" w:rsidRPr="00E951F4">
        <w:rPr>
          <w:sz w:val="26"/>
          <w:szCs w:val="26"/>
        </w:rPr>
        <w:t>to</w:t>
      </w:r>
      <w:r w:rsidRPr="00E951F4">
        <w:rPr>
          <w:sz w:val="26"/>
          <w:szCs w:val="26"/>
        </w:rPr>
        <w:t xml:space="preserve"> encourage additional solar development in Pennsylvania, </w:t>
      </w:r>
      <w:r w:rsidR="00E05C93" w:rsidRPr="00E951F4">
        <w:rPr>
          <w:sz w:val="26"/>
          <w:szCs w:val="26"/>
        </w:rPr>
        <w:t xml:space="preserve">both </w:t>
      </w:r>
      <w:r w:rsidRPr="00E951F4">
        <w:rPr>
          <w:sz w:val="26"/>
          <w:szCs w:val="26"/>
        </w:rPr>
        <w:t xml:space="preserve">generally and </w:t>
      </w:r>
      <w:r w:rsidR="00E05C93" w:rsidRPr="00E951F4">
        <w:rPr>
          <w:sz w:val="26"/>
          <w:szCs w:val="26"/>
        </w:rPr>
        <w:t xml:space="preserve">specifically within </w:t>
      </w:r>
      <w:r w:rsidRPr="00E951F4">
        <w:rPr>
          <w:sz w:val="26"/>
          <w:szCs w:val="26"/>
        </w:rPr>
        <w:t xml:space="preserve">the Company’s service area.  The Company believes that </w:t>
      </w:r>
      <w:r w:rsidR="00E05C93" w:rsidRPr="00E951F4">
        <w:rPr>
          <w:sz w:val="26"/>
          <w:szCs w:val="26"/>
        </w:rPr>
        <w:t>the</w:t>
      </w:r>
      <w:r w:rsidRPr="00E951F4">
        <w:rPr>
          <w:sz w:val="26"/>
          <w:szCs w:val="26"/>
        </w:rPr>
        <w:t xml:space="preserve"> long-term </w:t>
      </w:r>
      <w:r w:rsidR="00E05C93" w:rsidRPr="00E951F4">
        <w:rPr>
          <w:sz w:val="26"/>
          <w:szCs w:val="26"/>
        </w:rPr>
        <w:t>Solar PPA</w:t>
      </w:r>
      <w:r w:rsidRPr="00E951F4">
        <w:rPr>
          <w:sz w:val="26"/>
          <w:szCs w:val="26"/>
        </w:rPr>
        <w:t xml:space="preserve"> may provide greater opportunity for cost-effective financing for the developer of a utility-scale solar project.  The Company had previously proposed to acquire AECs only as part of its DSP VIII proceeding, but ultimately learned </w:t>
      </w:r>
      <w:r w:rsidR="00E05C93" w:rsidRPr="00E951F4">
        <w:rPr>
          <w:sz w:val="26"/>
          <w:szCs w:val="26"/>
        </w:rPr>
        <w:t xml:space="preserve">in that process </w:t>
      </w:r>
      <w:r w:rsidRPr="00E951F4">
        <w:rPr>
          <w:sz w:val="26"/>
          <w:szCs w:val="26"/>
        </w:rPr>
        <w:t>that solar developer</w:t>
      </w:r>
      <w:r w:rsidR="00E05C93" w:rsidRPr="00E951F4">
        <w:rPr>
          <w:sz w:val="26"/>
          <w:szCs w:val="26"/>
        </w:rPr>
        <w:t>s</w:t>
      </w:r>
      <w:r w:rsidRPr="00E951F4">
        <w:rPr>
          <w:sz w:val="26"/>
          <w:szCs w:val="26"/>
        </w:rPr>
        <w:t xml:space="preserve"> preferred a contract for all of the attributes of the facility (energy, capacity and ancillary services), not just the AECs</w:t>
      </w:r>
      <w:r w:rsidR="00E05C93" w:rsidRPr="00E951F4">
        <w:rPr>
          <w:sz w:val="26"/>
          <w:szCs w:val="26"/>
        </w:rPr>
        <w:t>, to enable developers to obtain financing for projects</w:t>
      </w:r>
      <w:r w:rsidRPr="00E951F4">
        <w:rPr>
          <w:sz w:val="26"/>
          <w:szCs w:val="26"/>
        </w:rPr>
        <w:t>.  Therefore, the Company has expanded its proposal in DSP IX to potentially cover all of the attributes of a solar facility, to better assist developers who are trying to obtain financing.  Duquesne Light St. 1 at 13 and 16-17, Duquesne Light M.B.at 27.</w:t>
      </w:r>
    </w:p>
    <w:p w14:paraId="3D920C1C" w14:textId="7269510F" w:rsidR="00EC3121" w:rsidRPr="00E951F4" w:rsidRDefault="0099788D" w:rsidP="00E951F4">
      <w:pPr>
        <w:widowControl/>
        <w:spacing w:line="360" w:lineRule="auto"/>
        <w:ind w:firstLine="1440"/>
        <w:rPr>
          <w:sz w:val="26"/>
          <w:szCs w:val="26"/>
        </w:rPr>
      </w:pPr>
      <w:r w:rsidRPr="00E951F4">
        <w:rPr>
          <w:sz w:val="26"/>
          <w:szCs w:val="26"/>
        </w:rPr>
        <w:lastRenderedPageBreak/>
        <w:t>The</w:t>
      </w:r>
      <w:r w:rsidR="0023362C" w:rsidRPr="00E951F4">
        <w:rPr>
          <w:sz w:val="26"/>
          <w:szCs w:val="26"/>
        </w:rPr>
        <w:t xml:space="preserve"> </w:t>
      </w:r>
      <w:r w:rsidRPr="00E951F4">
        <w:rPr>
          <w:sz w:val="26"/>
          <w:szCs w:val="26"/>
        </w:rPr>
        <w:t>S</w:t>
      </w:r>
      <w:r w:rsidR="0023362C" w:rsidRPr="00E951F4">
        <w:rPr>
          <w:sz w:val="26"/>
          <w:szCs w:val="26"/>
        </w:rPr>
        <w:t xml:space="preserve">olar </w:t>
      </w:r>
      <w:r w:rsidRPr="00E951F4">
        <w:rPr>
          <w:sz w:val="26"/>
          <w:szCs w:val="26"/>
        </w:rPr>
        <w:t>PPA</w:t>
      </w:r>
      <w:r w:rsidR="0023362C" w:rsidRPr="00E951F4">
        <w:rPr>
          <w:sz w:val="26"/>
          <w:szCs w:val="26"/>
        </w:rPr>
        <w:t xml:space="preserve"> is expected to </w:t>
      </w:r>
      <w:r w:rsidRPr="00E951F4">
        <w:rPr>
          <w:sz w:val="26"/>
          <w:szCs w:val="26"/>
        </w:rPr>
        <w:t xml:space="preserve">procure </w:t>
      </w:r>
      <w:r w:rsidR="0023362C" w:rsidRPr="00E951F4">
        <w:rPr>
          <w:sz w:val="26"/>
          <w:szCs w:val="26"/>
        </w:rPr>
        <w:t xml:space="preserve">slightly more than 50% of the required solar AECs </w:t>
      </w:r>
      <w:r w:rsidR="00DF35A6" w:rsidRPr="00E951F4">
        <w:rPr>
          <w:sz w:val="26"/>
          <w:szCs w:val="26"/>
        </w:rPr>
        <w:t xml:space="preserve">or </w:t>
      </w:r>
      <w:r w:rsidR="0023362C" w:rsidRPr="00E951F4">
        <w:rPr>
          <w:sz w:val="26"/>
          <w:szCs w:val="26"/>
        </w:rPr>
        <w:t xml:space="preserve">SAECs on a long-term basis. </w:t>
      </w:r>
      <w:r w:rsidR="00A953D6" w:rsidRPr="00E951F4">
        <w:rPr>
          <w:sz w:val="26"/>
          <w:szCs w:val="26"/>
        </w:rPr>
        <w:t xml:space="preserve"> </w:t>
      </w:r>
      <w:r w:rsidR="0023362C" w:rsidRPr="00E951F4">
        <w:rPr>
          <w:sz w:val="26"/>
          <w:szCs w:val="26"/>
        </w:rPr>
        <w:t xml:space="preserve">The </w:t>
      </w:r>
      <w:r w:rsidRPr="00E951F4">
        <w:rPr>
          <w:sz w:val="26"/>
          <w:szCs w:val="26"/>
        </w:rPr>
        <w:t>S</w:t>
      </w:r>
      <w:r w:rsidR="0023362C" w:rsidRPr="00E951F4">
        <w:rPr>
          <w:sz w:val="26"/>
          <w:szCs w:val="26"/>
        </w:rPr>
        <w:t>olar</w:t>
      </w:r>
      <w:r w:rsidRPr="00E951F4">
        <w:rPr>
          <w:sz w:val="26"/>
          <w:szCs w:val="26"/>
        </w:rPr>
        <w:t xml:space="preserve"> PPA</w:t>
      </w:r>
      <w:r w:rsidR="0023362C" w:rsidRPr="00E951F4">
        <w:rPr>
          <w:sz w:val="26"/>
          <w:szCs w:val="26"/>
        </w:rPr>
        <w:t xml:space="preserve"> will also provide energy.  Noting that solar facilities produce intermittent energy, the Company proposes to sell this energy into the market and credit the sales revenues to the default service reconciliation.  According to Duquesne Light, this </w:t>
      </w:r>
      <w:r w:rsidRPr="00E951F4">
        <w:rPr>
          <w:sz w:val="26"/>
          <w:szCs w:val="26"/>
        </w:rPr>
        <w:t xml:space="preserve">proposal </w:t>
      </w:r>
      <w:r w:rsidR="0023362C" w:rsidRPr="00E951F4">
        <w:rPr>
          <w:sz w:val="26"/>
          <w:szCs w:val="26"/>
        </w:rPr>
        <w:t>will avoid interfering with the load</w:t>
      </w:r>
      <w:r w:rsidRPr="00E951F4">
        <w:rPr>
          <w:sz w:val="26"/>
          <w:szCs w:val="26"/>
        </w:rPr>
        <w:t>-</w:t>
      </w:r>
      <w:r w:rsidR="0023362C" w:rsidRPr="00E951F4">
        <w:rPr>
          <w:sz w:val="26"/>
          <w:szCs w:val="26"/>
        </w:rPr>
        <w:t>following</w:t>
      </w:r>
      <w:r w:rsidRPr="00E951F4">
        <w:rPr>
          <w:sz w:val="26"/>
          <w:szCs w:val="26"/>
        </w:rPr>
        <w:t>,</w:t>
      </w:r>
      <w:r w:rsidR="0023362C" w:rsidRPr="00E951F4">
        <w:rPr>
          <w:sz w:val="26"/>
          <w:szCs w:val="26"/>
        </w:rPr>
        <w:t xml:space="preserve"> fixed</w:t>
      </w:r>
      <w:r w:rsidRPr="00E951F4">
        <w:rPr>
          <w:sz w:val="26"/>
          <w:szCs w:val="26"/>
        </w:rPr>
        <w:t>-</w:t>
      </w:r>
      <w:r w:rsidR="0023362C" w:rsidRPr="00E951F4">
        <w:rPr>
          <w:sz w:val="26"/>
          <w:szCs w:val="26"/>
        </w:rPr>
        <w:t xml:space="preserve">price wholesale contracts that it uses to provide default service energy requirements.  </w:t>
      </w:r>
      <w:r w:rsidRPr="00E951F4">
        <w:rPr>
          <w:sz w:val="26"/>
          <w:szCs w:val="26"/>
        </w:rPr>
        <w:t xml:space="preserve">It </w:t>
      </w:r>
      <w:r w:rsidR="0023362C" w:rsidRPr="00E951F4">
        <w:rPr>
          <w:sz w:val="26"/>
          <w:szCs w:val="26"/>
        </w:rPr>
        <w:t>is</w:t>
      </w:r>
      <w:r w:rsidRPr="00E951F4">
        <w:rPr>
          <w:sz w:val="26"/>
          <w:szCs w:val="26"/>
        </w:rPr>
        <w:t xml:space="preserve"> also</w:t>
      </w:r>
      <w:r w:rsidR="0023362C" w:rsidRPr="00E951F4">
        <w:rPr>
          <w:sz w:val="26"/>
          <w:szCs w:val="26"/>
        </w:rPr>
        <w:t xml:space="preserve"> designed to avoid creating potential increased prices under the wholesale contracts due to uncertainty about how much energy the solar facility will produce.  Importantly, the Company will not own the solar generating facility.  According to Duquesne Light, the purchase of the energy is simply a process to balance supply and demand and obtain for default service customers additional value from the </w:t>
      </w:r>
      <w:r w:rsidRPr="00E951F4">
        <w:rPr>
          <w:sz w:val="26"/>
          <w:szCs w:val="26"/>
        </w:rPr>
        <w:t>S</w:t>
      </w:r>
      <w:r w:rsidR="0023362C" w:rsidRPr="00E951F4">
        <w:rPr>
          <w:sz w:val="26"/>
          <w:szCs w:val="26"/>
        </w:rPr>
        <w:t>olar PPA.  Duquesne Light R.B. at 11.</w:t>
      </w:r>
    </w:p>
    <w:p w14:paraId="3B40A3BC" w14:textId="77777777" w:rsidR="00EC3121" w:rsidRPr="00E951F4" w:rsidRDefault="00EC3121" w:rsidP="00E951F4">
      <w:pPr>
        <w:widowControl/>
        <w:spacing w:line="360" w:lineRule="auto"/>
        <w:rPr>
          <w:sz w:val="26"/>
          <w:szCs w:val="26"/>
        </w:rPr>
      </w:pPr>
    </w:p>
    <w:p w14:paraId="6CBD366A" w14:textId="0E179F22" w:rsidR="00360642" w:rsidRPr="00E951F4" w:rsidRDefault="005C7D89" w:rsidP="00E951F4">
      <w:pPr>
        <w:keepNext/>
        <w:keepLines/>
        <w:widowControl/>
        <w:spacing w:line="360" w:lineRule="auto"/>
        <w:ind w:left="720" w:firstLine="720"/>
        <w:rPr>
          <w:b/>
          <w:bCs/>
          <w:sz w:val="26"/>
          <w:szCs w:val="26"/>
        </w:rPr>
      </w:pPr>
      <w:r w:rsidRPr="00E951F4">
        <w:rPr>
          <w:rFonts w:eastAsiaTheme="minorEastAsia"/>
          <w:b/>
          <w:bCs/>
          <w:sz w:val="26"/>
          <w:szCs w:val="26"/>
        </w:rPr>
        <w:t>EGS Parties</w:t>
      </w:r>
    </w:p>
    <w:p w14:paraId="14C2EFF1" w14:textId="77777777" w:rsidR="00360642" w:rsidRPr="00E951F4" w:rsidRDefault="00360642" w:rsidP="00E951F4">
      <w:pPr>
        <w:keepNext/>
        <w:keepLines/>
        <w:widowControl/>
        <w:kinsoku w:val="0"/>
        <w:overflowPunct w:val="0"/>
        <w:spacing w:line="360" w:lineRule="auto"/>
        <w:ind w:firstLine="1440"/>
        <w:textAlignment w:val="baseline"/>
        <w:rPr>
          <w:rFonts w:eastAsiaTheme="minorEastAsia"/>
          <w:sz w:val="26"/>
          <w:szCs w:val="26"/>
        </w:rPr>
      </w:pPr>
    </w:p>
    <w:p w14:paraId="23367549" w14:textId="55C221D1" w:rsidR="0023362C" w:rsidRPr="00E951F4" w:rsidRDefault="0023362C" w:rsidP="00E951F4">
      <w:pPr>
        <w:keepNext/>
        <w:widowControl/>
        <w:kinsoku w:val="0"/>
        <w:overflowPunct w:val="0"/>
        <w:spacing w:line="360" w:lineRule="auto"/>
        <w:ind w:firstLine="1440"/>
        <w:textAlignment w:val="baseline"/>
        <w:rPr>
          <w:sz w:val="26"/>
          <w:szCs w:val="26"/>
        </w:rPr>
      </w:pPr>
      <w:r w:rsidRPr="00E951F4">
        <w:rPr>
          <w:rFonts w:eastAsiaTheme="minorEastAsia"/>
          <w:sz w:val="26"/>
          <w:szCs w:val="26"/>
        </w:rPr>
        <w:t xml:space="preserve">The EGS Parties opposed the Company’s long-term </w:t>
      </w:r>
      <w:r w:rsidR="00E05C93" w:rsidRPr="00E951F4">
        <w:rPr>
          <w:rFonts w:eastAsiaTheme="minorEastAsia"/>
          <w:sz w:val="26"/>
          <w:szCs w:val="26"/>
        </w:rPr>
        <w:t>S</w:t>
      </w:r>
      <w:r w:rsidRPr="00E951F4">
        <w:rPr>
          <w:rFonts w:eastAsiaTheme="minorEastAsia"/>
          <w:sz w:val="26"/>
          <w:szCs w:val="26"/>
        </w:rPr>
        <w:t xml:space="preserve">olar PPA proposal as an activity that should be reserved for </w:t>
      </w:r>
      <w:r w:rsidR="00180C24" w:rsidRPr="00E951F4">
        <w:rPr>
          <w:rFonts w:eastAsiaTheme="minorEastAsia"/>
          <w:sz w:val="26"/>
          <w:szCs w:val="26"/>
        </w:rPr>
        <w:t xml:space="preserve">the </w:t>
      </w:r>
      <w:r w:rsidRPr="00E951F4">
        <w:rPr>
          <w:rFonts w:eastAsiaTheme="minorEastAsia"/>
          <w:sz w:val="26"/>
          <w:szCs w:val="26"/>
        </w:rPr>
        <w:t xml:space="preserve">EGSs, given the risk that the costs of such contracts may end up being uneconomic over the life of the contracts.  </w:t>
      </w:r>
      <w:r w:rsidRPr="00E951F4">
        <w:rPr>
          <w:sz w:val="26"/>
          <w:szCs w:val="26"/>
        </w:rPr>
        <w:t xml:space="preserve">The EGS Parties argued that such a project would essentially put Duquesne Light back in the generation business – with the default customers shouldering the entirety of the risk under the guise of a SAEC acquisition program. </w:t>
      </w:r>
      <w:r w:rsidR="00C1611F" w:rsidRPr="00E951F4">
        <w:rPr>
          <w:sz w:val="26"/>
          <w:szCs w:val="26"/>
        </w:rPr>
        <w:t xml:space="preserve"> </w:t>
      </w:r>
      <w:r w:rsidRPr="00E951F4">
        <w:rPr>
          <w:sz w:val="26"/>
          <w:szCs w:val="26"/>
        </w:rPr>
        <w:t xml:space="preserve">EGS Parties St. 1 at 24-25.  According to the EGS Parties, such a contract is not authorized by the </w:t>
      </w:r>
      <w:r w:rsidR="00F15A65" w:rsidRPr="00E951F4">
        <w:rPr>
          <w:sz w:val="26"/>
          <w:szCs w:val="26"/>
        </w:rPr>
        <w:t>Competition Act</w:t>
      </w:r>
      <w:r w:rsidRPr="00E951F4">
        <w:rPr>
          <w:sz w:val="26"/>
          <w:szCs w:val="26"/>
        </w:rPr>
        <w:t>, 66 Pa.</w:t>
      </w:r>
      <w:r w:rsidR="00FB3F0B" w:rsidRPr="00E951F4">
        <w:rPr>
          <w:sz w:val="26"/>
          <w:szCs w:val="26"/>
        </w:rPr>
        <w:t xml:space="preserve"> </w:t>
      </w:r>
      <w:r w:rsidRPr="00E951F4">
        <w:rPr>
          <w:sz w:val="26"/>
          <w:szCs w:val="26"/>
        </w:rPr>
        <w:t xml:space="preserve">C.S. § 2801, </w:t>
      </w:r>
      <w:r w:rsidRPr="00E951F4">
        <w:rPr>
          <w:i/>
          <w:iCs/>
          <w:sz w:val="26"/>
          <w:szCs w:val="26"/>
        </w:rPr>
        <w:t>et</w:t>
      </w:r>
      <w:r w:rsidR="00171FD8">
        <w:rPr>
          <w:i/>
          <w:iCs/>
          <w:sz w:val="26"/>
          <w:szCs w:val="26"/>
        </w:rPr>
        <w:t> </w:t>
      </w:r>
      <w:r w:rsidRPr="00E951F4">
        <w:rPr>
          <w:i/>
          <w:iCs/>
          <w:sz w:val="26"/>
          <w:szCs w:val="26"/>
        </w:rPr>
        <w:t>seq.</w:t>
      </w:r>
      <w:r w:rsidRPr="00E951F4">
        <w:rPr>
          <w:sz w:val="26"/>
          <w:szCs w:val="26"/>
        </w:rPr>
        <w:t xml:space="preserve">  In particular, according to the EGS Parties, the Company’s plan to sell the energy into the wholesale market as a means of “offsetting” default service costs, goes well beyond what is authorized in Section 2807(e)(3.1), </w:t>
      </w:r>
      <w:r w:rsidRPr="00E951F4">
        <w:rPr>
          <w:i/>
          <w:iCs/>
          <w:sz w:val="26"/>
          <w:szCs w:val="26"/>
        </w:rPr>
        <w:t>et seq.</w:t>
      </w:r>
      <w:r w:rsidRPr="00E951F4">
        <w:rPr>
          <w:sz w:val="26"/>
          <w:szCs w:val="26"/>
        </w:rPr>
        <w:t xml:space="preserve">  EGS Parties M.B. at 5.</w:t>
      </w:r>
    </w:p>
    <w:p w14:paraId="7B3E2AB0" w14:textId="77777777" w:rsidR="0023362C" w:rsidRPr="00E951F4" w:rsidRDefault="0023362C" w:rsidP="00E951F4">
      <w:pPr>
        <w:widowControl/>
        <w:spacing w:line="360" w:lineRule="auto"/>
        <w:rPr>
          <w:sz w:val="26"/>
          <w:szCs w:val="26"/>
        </w:rPr>
      </w:pPr>
    </w:p>
    <w:p w14:paraId="1AF8927B" w14:textId="51E49BE8" w:rsidR="0023362C" w:rsidRPr="00E951F4" w:rsidRDefault="0023362C" w:rsidP="00E951F4">
      <w:pPr>
        <w:widowControl/>
        <w:spacing w:line="360" w:lineRule="auto"/>
        <w:ind w:firstLine="1440"/>
        <w:rPr>
          <w:sz w:val="26"/>
          <w:szCs w:val="26"/>
        </w:rPr>
      </w:pPr>
      <w:r w:rsidRPr="00E951F4">
        <w:rPr>
          <w:sz w:val="26"/>
          <w:szCs w:val="26"/>
        </w:rPr>
        <w:t xml:space="preserve">The EGS Parties also opposed the </w:t>
      </w:r>
      <w:r w:rsidR="00FB3F0B" w:rsidRPr="00E951F4">
        <w:rPr>
          <w:sz w:val="26"/>
          <w:szCs w:val="26"/>
        </w:rPr>
        <w:t>S</w:t>
      </w:r>
      <w:r w:rsidRPr="00E951F4">
        <w:rPr>
          <w:sz w:val="26"/>
          <w:szCs w:val="26"/>
        </w:rPr>
        <w:t xml:space="preserve">olar PPA because Duquesne Light’s long-term contract plans run the risk of outliving its proposed DSP IX plan and even subsequent default service plans.  According to the EGS Parties, while that is potentially </w:t>
      </w:r>
      <w:r w:rsidRPr="00E951F4">
        <w:rPr>
          <w:sz w:val="26"/>
          <w:szCs w:val="26"/>
        </w:rPr>
        <w:lastRenderedPageBreak/>
        <w:t xml:space="preserve">problematic from a cost perspective, it also presents the possibility that Duquesne Light could no longer be the Default Service Provider and the costs of such a contract could become stranded, or worse, be used as an excuse why a new default provider should not be approved.  The EGS Parties argued that Duquesne Light has failed to establish a need for such an arrangement, or how that need might have changed, despite its failure to reach a </w:t>
      </w:r>
      <w:r w:rsidR="00CD59AF" w:rsidRPr="00E951F4">
        <w:rPr>
          <w:sz w:val="26"/>
          <w:szCs w:val="26"/>
        </w:rPr>
        <w:t>S</w:t>
      </w:r>
      <w:r w:rsidRPr="00E951F4">
        <w:rPr>
          <w:sz w:val="26"/>
          <w:szCs w:val="26"/>
        </w:rPr>
        <w:t>olar PPA agreement previously.  The EGS Parties argued that, if the Commission feels compelled to approve some sort of acquisition program for SAECs, the EGS Parties could accept an AEC-only acquisition, but there should be no authorization for the purchase (or resale) of energy, capacity</w:t>
      </w:r>
      <w:r w:rsidR="00CD59AF" w:rsidRPr="00E951F4">
        <w:rPr>
          <w:sz w:val="26"/>
          <w:szCs w:val="26"/>
        </w:rPr>
        <w:t>,</w:t>
      </w:r>
      <w:r w:rsidRPr="00E951F4">
        <w:rPr>
          <w:sz w:val="26"/>
          <w:szCs w:val="26"/>
        </w:rPr>
        <w:t xml:space="preserve"> or ancillary services.  EGS Parties St. 1 at</w:t>
      </w:r>
      <w:r w:rsidR="00171FD8">
        <w:rPr>
          <w:sz w:val="26"/>
          <w:szCs w:val="26"/>
        </w:rPr>
        <w:t> </w:t>
      </w:r>
      <w:r w:rsidRPr="00E951F4">
        <w:rPr>
          <w:sz w:val="26"/>
          <w:szCs w:val="26"/>
        </w:rPr>
        <w:t>23</w:t>
      </w:r>
      <w:r w:rsidR="00CD59AF" w:rsidRPr="00E951F4">
        <w:rPr>
          <w:sz w:val="26"/>
          <w:szCs w:val="26"/>
        </w:rPr>
        <w:t>;</w:t>
      </w:r>
      <w:r w:rsidRPr="00E951F4">
        <w:rPr>
          <w:sz w:val="26"/>
          <w:szCs w:val="26"/>
        </w:rPr>
        <w:t xml:space="preserve"> EGS Parties M.B. at 5-6.</w:t>
      </w:r>
    </w:p>
    <w:p w14:paraId="4D184BEE" w14:textId="77777777" w:rsidR="0023362C" w:rsidRPr="00E951F4" w:rsidRDefault="0023362C" w:rsidP="00E951F4">
      <w:pPr>
        <w:widowControl/>
        <w:spacing w:line="360" w:lineRule="auto"/>
        <w:rPr>
          <w:sz w:val="26"/>
          <w:szCs w:val="26"/>
        </w:rPr>
      </w:pPr>
    </w:p>
    <w:p w14:paraId="4E5D5382" w14:textId="13D161E2" w:rsidR="00EC3121" w:rsidRPr="00E951F4" w:rsidRDefault="0023362C" w:rsidP="00E951F4">
      <w:pPr>
        <w:widowControl/>
        <w:spacing w:line="360" w:lineRule="auto"/>
        <w:ind w:firstLine="1440"/>
        <w:rPr>
          <w:sz w:val="26"/>
          <w:szCs w:val="26"/>
        </w:rPr>
      </w:pPr>
      <w:r w:rsidRPr="00E951F4">
        <w:rPr>
          <w:sz w:val="26"/>
          <w:szCs w:val="26"/>
        </w:rPr>
        <w:t xml:space="preserve">The EGS Parties also </w:t>
      </w:r>
      <w:r w:rsidR="001F3442" w:rsidRPr="00E951F4">
        <w:rPr>
          <w:sz w:val="26"/>
          <w:szCs w:val="26"/>
        </w:rPr>
        <w:t>were</w:t>
      </w:r>
      <w:r w:rsidRPr="00E951F4">
        <w:rPr>
          <w:sz w:val="26"/>
          <w:szCs w:val="26"/>
        </w:rPr>
        <w:t xml:space="preserve"> concerned that utility ratepayer</w:t>
      </w:r>
      <w:r w:rsidR="00E05C93" w:rsidRPr="00E951F4">
        <w:rPr>
          <w:sz w:val="26"/>
          <w:szCs w:val="26"/>
        </w:rPr>
        <w:t>-</w:t>
      </w:r>
      <w:r w:rsidRPr="00E951F4">
        <w:rPr>
          <w:sz w:val="26"/>
          <w:szCs w:val="26"/>
        </w:rPr>
        <w:t>funded, long-term contract</w:t>
      </w:r>
      <w:r w:rsidR="00E05C93" w:rsidRPr="00E951F4">
        <w:rPr>
          <w:sz w:val="26"/>
          <w:szCs w:val="26"/>
        </w:rPr>
        <w:t>-</w:t>
      </w:r>
      <w:r w:rsidRPr="00E951F4">
        <w:rPr>
          <w:sz w:val="26"/>
          <w:szCs w:val="26"/>
        </w:rPr>
        <w:t>supported solar projects could crowd out competitive projects in the marketplace and put suppliers at a disadvantage for capital and a place in the market for such projects.  The EGS Parties asserted that ratepayer funding creates a lower risk profile for investors that drives such decisions.  The EGS Parties argue</w:t>
      </w:r>
      <w:r w:rsidR="001F3442" w:rsidRPr="00E951F4">
        <w:rPr>
          <w:sz w:val="26"/>
          <w:szCs w:val="26"/>
        </w:rPr>
        <w:t>d</w:t>
      </w:r>
      <w:r w:rsidRPr="00E951F4">
        <w:rPr>
          <w:sz w:val="26"/>
          <w:szCs w:val="26"/>
        </w:rPr>
        <w:t xml:space="preserve"> that this type of project also is a direct assault on current efforts to enact Community Solar initiatives that democratize energy production by providing ownership opportunities in solar projects for even very small investors.  The EGS Parties contended that Duquesne Light’s proposed contract will provide fodder for those who say we do not need </w:t>
      </w:r>
      <w:r w:rsidR="00E05C93" w:rsidRPr="00E951F4">
        <w:rPr>
          <w:sz w:val="26"/>
          <w:szCs w:val="26"/>
        </w:rPr>
        <w:t>c</w:t>
      </w:r>
      <w:r w:rsidRPr="00E951F4">
        <w:rPr>
          <w:sz w:val="26"/>
          <w:szCs w:val="26"/>
        </w:rPr>
        <w:t xml:space="preserve">ommunity </w:t>
      </w:r>
      <w:r w:rsidR="00E05C93" w:rsidRPr="00E951F4">
        <w:rPr>
          <w:sz w:val="26"/>
          <w:szCs w:val="26"/>
        </w:rPr>
        <w:t>s</w:t>
      </w:r>
      <w:r w:rsidRPr="00E951F4">
        <w:rPr>
          <w:sz w:val="26"/>
          <w:szCs w:val="26"/>
        </w:rPr>
        <w:t>olar initiatives because the utility already provides an avenue for project development.  In short, the EGS Parties concluded there is no legal basis on which to approve the proposed solar PPA, and there are multiple policy reasons to reject it.  EGS Parties St. 1 at 24, EGS Parties M.B. at 6-7.</w:t>
      </w:r>
    </w:p>
    <w:p w14:paraId="0AC1760B" w14:textId="77777777" w:rsidR="00EB5EE5" w:rsidRPr="00E951F4" w:rsidRDefault="00EB5EE5" w:rsidP="00E951F4">
      <w:pPr>
        <w:widowControl/>
        <w:spacing w:line="360" w:lineRule="auto"/>
        <w:rPr>
          <w:sz w:val="26"/>
          <w:szCs w:val="26"/>
        </w:rPr>
      </w:pPr>
    </w:p>
    <w:p w14:paraId="43980D78" w14:textId="1AAA7085" w:rsidR="00D55A71" w:rsidRPr="00E951F4" w:rsidRDefault="00D55A71" w:rsidP="00E951F4">
      <w:pPr>
        <w:keepNext/>
        <w:widowControl/>
        <w:spacing w:line="360" w:lineRule="auto"/>
        <w:ind w:left="720" w:firstLine="720"/>
        <w:rPr>
          <w:b/>
          <w:bCs/>
          <w:sz w:val="26"/>
          <w:szCs w:val="26"/>
        </w:rPr>
      </w:pPr>
      <w:r w:rsidRPr="00E951F4">
        <w:rPr>
          <w:b/>
          <w:bCs/>
          <w:sz w:val="26"/>
          <w:szCs w:val="26"/>
        </w:rPr>
        <w:t>MAREC</w:t>
      </w:r>
    </w:p>
    <w:p w14:paraId="0F884E65" w14:textId="77777777" w:rsidR="00D55A71" w:rsidRPr="00E951F4" w:rsidRDefault="00D55A71" w:rsidP="00E951F4">
      <w:pPr>
        <w:keepNext/>
        <w:widowControl/>
        <w:spacing w:line="360" w:lineRule="auto"/>
        <w:ind w:firstLine="1440"/>
        <w:rPr>
          <w:sz w:val="26"/>
          <w:szCs w:val="26"/>
        </w:rPr>
      </w:pPr>
    </w:p>
    <w:p w14:paraId="0255F661" w14:textId="00A1E439" w:rsidR="0023362C" w:rsidRPr="00E951F4" w:rsidRDefault="0023362C" w:rsidP="00E951F4">
      <w:pPr>
        <w:keepNext/>
        <w:widowControl/>
        <w:spacing w:line="360" w:lineRule="auto"/>
        <w:ind w:firstLine="1440"/>
        <w:rPr>
          <w:sz w:val="26"/>
          <w:szCs w:val="26"/>
        </w:rPr>
      </w:pPr>
      <w:r w:rsidRPr="00E951F4">
        <w:rPr>
          <w:sz w:val="26"/>
          <w:szCs w:val="26"/>
        </w:rPr>
        <w:t xml:space="preserve">In contrast to the position of the EGS Parties, MAREC argues that Duquesne Light’s description of the </w:t>
      </w:r>
      <w:r w:rsidR="00E05C93" w:rsidRPr="00E951F4">
        <w:rPr>
          <w:sz w:val="26"/>
          <w:szCs w:val="26"/>
        </w:rPr>
        <w:t>S</w:t>
      </w:r>
      <w:r w:rsidRPr="00E951F4">
        <w:rPr>
          <w:sz w:val="26"/>
          <w:szCs w:val="26"/>
        </w:rPr>
        <w:t xml:space="preserve">olar PPA program as </w:t>
      </w:r>
      <w:r w:rsidR="000A68EF" w:rsidRPr="00E951F4">
        <w:rPr>
          <w:sz w:val="26"/>
          <w:szCs w:val="26"/>
        </w:rPr>
        <w:t>“</w:t>
      </w:r>
      <w:r w:rsidRPr="00E951F4">
        <w:rPr>
          <w:sz w:val="26"/>
          <w:szCs w:val="26"/>
        </w:rPr>
        <w:t>manageably sized</w:t>
      </w:r>
      <w:r w:rsidR="000A68EF" w:rsidRPr="00E951F4">
        <w:rPr>
          <w:sz w:val="26"/>
          <w:szCs w:val="26"/>
        </w:rPr>
        <w:t>”</w:t>
      </w:r>
      <w:r w:rsidRPr="00E951F4">
        <w:rPr>
          <w:sz w:val="26"/>
          <w:szCs w:val="26"/>
        </w:rPr>
        <w:t xml:space="preserve"> because </w:t>
      </w:r>
      <w:r w:rsidRPr="00E951F4">
        <w:rPr>
          <w:sz w:val="26"/>
          <w:szCs w:val="26"/>
        </w:rPr>
        <w:lastRenderedPageBreak/>
        <w:t>it accounts for less than 55% of the Company</w:t>
      </w:r>
      <w:r w:rsidR="000A68EF" w:rsidRPr="00E951F4">
        <w:rPr>
          <w:sz w:val="26"/>
          <w:szCs w:val="26"/>
        </w:rPr>
        <w:t>’</w:t>
      </w:r>
      <w:r w:rsidRPr="00E951F4">
        <w:rPr>
          <w:sz w:val="26"/>
          <w:szCs w:val="26"/>
        </w:rPr>
        <w:t xml:space="preserve">s projected solar AEC requirements, does not mean that it should not be larger or that a larger program could not be managed.  MAREC recommended that Duquesne Light should enter into a higher quantity of and larger sized long-term renewable contracts than Duquesne Light is </w:t>
      </w:r>
      <w:r w:rsidR="00453043" w:rsidRPr="00E951F4">
        <w:rPr>
          <w:sz w:val="26"/>
          <w:szCs w:val="26"/>
        </w:rPr>
        <w:t xml:space="preserve">currently </w:t>
      </w:r>
      <w:r w:rsidRPr="00E951F4">
        <w:rPr>
          <w:sz w:val="26"/>
          <w:szCs w:val="26"/>
        </w:rPr>
        <w:t>proposing.  MAREC R.B. at 7.</w:t>
      </w:r>
    </w:p>
    <w:p w14:paraId="36D98FA0" w14:textId="77777777" w:rsidR="0023362C" w:rsidRPr="00E951F4" w:rsidRDefault="0023362C" w:rsidP="00E951F4">
      <w:pPr>
        <w:widowControl/>
        <w:spacing w:line="360" w:lineRule="auto"/>
        <w:rPr>
          <w:sz w:val="26"/>
          <w:szCs w:val="26"/>
        </w:rPr>
      </w:pPr>
    </w:p>
    <w:p w14:paraId="5367C34B" w14:textId="318CC2C2" w:rsidR="0023362C" w:rsidRPr="00E951F4" w:rsidRDefault="0023362C" w:rsidP="00E951F4">
      <w:pPr>
        <w:widowControl/>
        <w:spacing w:line="360" w:lineRule="auto"/>
        <w:ind w:firstLine="1440"/>
        <w:rPr>
          <w:rFonts w:eastAsiaTheme="minorEastAsia"/>
          <w:sz w:val="26"/>
          <w:szCs w:val="26"/>
        </w:rPr>
      </w:pPr>
      <w:r w:rsidRPr="00E951F4">
        <w:rPr>
          <w:sz w:val="26"/>
          <w:szCs w:val="26"/>
        </w:rPr>
        <w:t>MAREC asserted that an appropriate analysis to determine a prudent mix of contracts would be an All-Resource Request for Proposals followed by Integrated Resource Modelling to determine the least-cost mix of resources that meet the Company</w:t>
      </w:r>
      <w:r w:rsidR="00646765" w:rsidRPr="00E951F4">
        <w:rPr>
          <w:sz w:val="26"/>
          <w:szCs w:val="26"/>
        </w:rPr>
        <w:t>’</w:t>
      </w:r>
      <w:r w:rsidRPr="00E951F4">
        <w:rPr>
          <w:sz w:val="26"/>
          <w:szCs w:val="26"/>
        </w:rPr>
        <w:t>s other requirements</w:t>
      </w:r>
      <w:r w:rsidR="00646765" w:rsidRPr="00E951F4">
        <w:rPr>
          <w:sz w:val="26"/>
          <w:szCs w:val="26"/>
        </w:rPr>
        <w:t>,</w:t>
      </w:r>
      <w:r w:rsidRPr="00E951F4">
        <w:rPr>
          <w:sz w:val="26"/>
          <w:szCs w:val="26"/>
        </w:rPr>
        <w:t xml:space="preserve"> including its AECs obligation.  MAREC St. 1 at 8-17.  </w:t>
      </w:r>
      <w:r w:rsidRPr="00E951F4">
        <w:rPr>
          <w:rFonts w:eastAsiaTheme="minorEastAsia"/>
          <w:sz w:val="26"/>
          <w:szCs w:val="26"/>
        </w:rPr>
        <w:t>MAREC explained that long-term renewable contracts benefit consumers in the following ways: (1) l</w:t>
      </w:r>
      <w:r w:rsidRPr="00E951F4">
        <w:rPr>
          <w:sz w:val="26"/>
          <w:szCs w:val="26"/>
        </w:rPr>
        <w:t>ong-term contracts for renewable energy can offer price stability over a multi-year timeframe, thereby protecting customers from constant rate adjustments during periods when energy and capacity markets are unstable; (2)</w:t>
      </w:r>
      <w:r w:rsidRPr="00E951F4">
        <w:rPr>
          <w:rFonts w:eastAsiaTheme="minorEastAsia"/>
          <w:sz w:val="26"/>
          <w:szCs w:val="26"/>
        </w:rPr>
        <w:t xml:space="preserve"> long-term contracts encourage the development of new renewable generation resources by offering increased price certainty and lower financing costs; (3) the addition of renewable generators leads to an increase in the availability of Renewable Energy Certificates (RECs), and an increase in the supply of RECs helps to lower the price, which</w:t>
      </w:r>
      <w:r w:rsidR="00895673" w:rsidRPr="00E951F4">
        <w:rPr>
          <w:rFonts w:eastAsiaTheme="minorEastAsia"/>
          <w:sz w:val="26"/>
          <w:szCs w:val="26"/>
        </w:rPr>
        <w:t>,</w:t>
      </w:r>
      <w:r w:rsidRPr="00E951F4">
        <w:rPr>
          <w:rFonts w:eastAsiaTheme="minorEastAsia"/>
          <w:sz w:val="26"/>
          <w:szCs w:val="26"/>
        </w:rPr>
        <w:t xml:space="preserve"> in turn</w:t>
      </w:r>
      <w:r w:rsidR="00895673" w:rsidRPr="00E951F4">
        <w:rPr>
          <w:rFonts w:eastAsiaTheme="minorEastAsia"/>
          <w:sz w:val="26"/>
          <w:szCs w:val="26"/>
        </w:rPr>
        <w:t>,</w:t>
      </w:r>
      <w:r w:rsidRPr="00E951F4">
        <w:rPr>
          <w:rFonts w:eastAsiaTheme="minorEastAsia"/>
          <w:sz w:val="26"/>
          <w:szCs w:val="26"/>
        </w:rPr>
        <w:t xml:space="preserve"> reduces the cost of meeting the Renewable Portfolio Standard (RPS) and benefits ratepayers; (4) t</w:t>
      </w:r>
      <w:r w:rsidRPr="00E951F4">
        <w:rPr>
          <w:sz w:val="26"/>
          <w:szCs w:val="26"/>
        </w:rPr>
        <w:t>he addition of renewable generation to the wholesale market supply curve displaces the most expensive generating units and lowers the wholesale market price of energy</w:t>
      </w:r>
      <w:r w:rsidR="00895673" w:rsidRPr="00E951F4">
        <w:rPr>
          <w:sz w:val="26"/>
          <w:szCs w:val="26"/>
        </w:rPr>
        <w:t>,</w:t>
      </w:r>
      <w:r w:rsidRPr="00E951F4">
        <w:rPr>
          <w:sz w:val="26"/>
          <w:szCs w:val="26"/>
        </w:rPr>
        <w:t xml:space="preserve"> and utilities dealing directly with developers in a competitive process are able to pass along cost savings (such as lower financing costs) to customers; (5) </w:t>
      </w:r>
      <w:r w:rsidRPr="00E951F4">
        <w:rPr>
          <w:rFonts w:eastAsiaTheme="minorEastAsia"/>
          <w:sz w:val="26"/>
          <w:szCs w:val="26"/>
        </w:rPr>
        <w:t>in-state development of renewables adds jobs and promotes economic development; and (6) d</w:t>
      </w:r>
      <w:r w:rsidRPr="00E951F4">
        <w:rPr>
          <w:sz w:val="26"/>
          <w:szCs w:val="26"/>
        </w:rPr>
        <w:t>isplacement of fossil-fired generators with non-emitting renewables leads to a reduction in air emissions and a corresponding increase in health benefits for consumers.  MAREC St. 1 at 9-10</w:t>
      </w:r>
      <w:r w:rsidR="00233240" w:rsidRPr="00E951F4">
        <w:rPr>
          <w:sz w:val="26"/>
          <w:szCs w:val="26"/>
        </w:rPr>
        <w:t>;</w:t>
      </w:r>
      <w:r w:rsidRPr="00E951F4">
        <w:rPr>
          <w:sz w:val="26"/>
          <w:szCs w:val="26"/>
        </w:rPr>
        <w:t xml:space="preserve"> MAREC M.B. at 6.</w:t>
      </w:r>
    </w:p>
    <w:p w14:paraId="4EBC00BE" w14:textId="77777777" w:rsidR="0023362C" w:rsidRPr="00E951F4" w:rsidRDefault="0023362C" w:rsidP="00E951F4">
      <w:pPr>
        <w:widowControl/>
        <w:kinsoku w:val="0"/>
        <w:overflowPunct w:val="0"/>
        <w:spacing w:line="360" w:lineRule="auto"/>
        <w:ind w:right="792"/>
        <w:jc w:val="both"/>
        <w:textAlignment w:val="baseline"/>
        <w:rPr>
          <w:rFonts w:eastAsiaTheme="minorEastAsia"/>
          <w:sz w:val="26"/>
          <w:szCs w:val="26"/>
        </w:rPr>
      </w:pPr>
    </w:p>
    <w:p w14:paraId="05E3CB6C" w14:textId="6998E35F" w:rsidR="00EC3121" w:rsidRPr="00E951F4" w:rsidRDefault="0023362C" w:rsidP="00E951F4">
      <w:pPr>
        <w:widowControl/>
        <w:kinsoku w:val="0"/>
        <w:overflowPunct w:val="0"/>
        <w:spacing w:line="360" w:lineRule="auto"/>
        <w:ind w:right="792" w:firstLine="1440"/>
        <w:textAlignment w:val="baseline"/>
        <w:rPr>
          <w:sz w:val="26"/>
          <w:szCs w:val="26"/>
        </w:rPr>
      </w:pPr>
      <w:r w:rsidRPr="00E951F4">
        <w:rPr>
          <w:sz w:val="26"/>
          <w:szCs w:val="26"/>
        </w:rPr>
        <w:lastRenderedPageBreak/>
        <w:t>MAREC submitted that the best path forward for the Company to achieve a prudent mix of renewables at the lowest costs to consumers is to establish a stakeholder working group at the conclusion of this case to bring a proposal forward to the Commission for its review.  MAREC asserted that Duquesne Light should be required to work with stakeholders to design a prudent mix that allows consumers to receive the benefits of long-term renewables contracts.  MAREC M.B. at 12</w:t>
      </w:r>
      <w:r w:rsidR="00233240" w:rsidRPr="00E951F4">
        <w:rPr>
          <w:sz w:val="26"/>
          <w:szCs w:val="26"/>
        </w:rPr>
        <w:t>;</w:t>
      </w:r>
      <w:r w:rsidRPr="00E951F4">
        <w:rPr>
          <w:sz w:val="26"/>
          <w:szCs w:val="26"/>
        </w:rPr>
        <w:t xml:space="preserve"> MAREC R.B. at 8.</w:t>
      </w:r>
    </w:p>
    <w:p w14:paraId="74339028" w14:textId="77777777" w:rsidR="00EC3121" w:rsidRPr="00E951F4" w:rsidRDefault="00EC3121" w:rsidP="00E951F4">
      <w:pPr>
        <w:widowControl/>
        <w:kinsoku w:val="0"/>
        <w:overflowPunct w:val="0"/>
        <w:spacing w:line="360" w:lineRule="auto"/>
        <w:ind w:right="792"/>
        <w:textAlignment w:val="baseline"/>
        <w:rPr>
          <w:b/>
          <w:bCs/>
          <w:sz w:val="26"/>
          <w:szCs w:val="26"/>
        </w:rPr>
      </w:pPr>
    </w:p>
    <w:p w14:paraId="282B9131" w14:textId="68594CA4" w:rsidR="00C455C7" w:rsidRPr="00E951F4" w:rsidRDefault="00256938" w:rsidP="00E951F4">
      <w:pPr>
        <w:keepNext/>
        <w:widowControl/>
        <w:kinsoku w:val="0"/>
        <w:overflowPunct w:val="0"/>
        <w:spacing w:line="360" w:lineRule="auto"/>
        <w:ind w:left="720" w:right="792" w:firstLine="720"/>
        <w:textAlignment w:val="baseline"/>
        <w:rPr>
          <w:b/>
          <w:bCs/>
          <w:sz w:val="26"/>
          <w:szCs w:val="26"/>
        </w:rPr>
      </w:pPr>
      <w:r w:rsidRPr="00E951F4">
        <w:rPr>
          <w:b/>
          <w:bCs/>
          <w:sz w:val="26"/>
          <w:szCs w:val="26"/>
        </w:rPr>
        <w:t>OCA</w:t>
      </w:r>
    </w:p>
    <w:p w14:paraId="4D478748" w14:textId="77777777" w:rsidR="00C455C7" w:rsidRPr="00E951F4" w:rsidRDefault="00C455C7" w:rsidP="00E951F4">
      <w:pPr>
        <w:keepNext/>
        <w:widowControl/>
        <w:kinsoku w:val="0"/>
        <w:overflowPunct w:val="0"/>
        <w:spacing w:line="360" w:lineRule="auto"/>
        <w:ind w:firstLine="1440"/>
        <w:textAlignment w:val="baseline"/>
        <w:rPr>
          <w:rFonts w:eastAsiaTheme="minorEastAsia"/>
          <w:sz w:val="26"/>
          <w:szCs w:val="26"/>
        </w:rPr>
      </w:pPr>
    </w:p>
    <w:p w14:paraId="2B361485" w14:textId="3823B79B" w:rsidR="0023362C" w:rsidRPr="00E951F4" w:rsidRDefault="0023362C" w:rsidP="00E951F4">
      <w:pPr>
        <w:keepNext/>
        <w:widowControl/>
        <w:kinsoku w:val="0"/>
        <w:overflowPunct w:val="0"/>
        <w:spacing w:line="360" w:lineRule="auto"/>
        <w:ind w:firstLine="1440"/>
        <w:textAlignment w:val="baseline"/>
        <w:rPr>
          <w:sz w:val="26"/>
          <w:szCs w:val="26"/>
        </w:rPr>
      </w:pPr>
      <w:r w:rsidRPr="00E951F4">
        <w:rPr>
          <w:rFonts w:eastAsiaTheme="minorEastAsia"/>
          <w:sz w:val="26"/>
          <w:szCs w:val="26"/>
        </w:rPr>
        <w:t xml:space="preserve">While </w:t>
      </w:r>
      <w:r w:rsidR="00233240" w:rsidRPr="00E951F4">
        <w:rPr>
          <w:rFonts w:eastAsiaTheme="minorEastAsia"/>
          <w:sz w:val="26"/>
          <w:szCs w:val="26"/>
        </w:rPr>
        <w:t xml:space="preserve">the </w:t>
      </w:r>
      <w:r w:rsidRPr="00E951F4">
        <w:rPr>
          <w:sz w:val="26"/>
          <w:szCs w:val="26"/>
        </w:rPr>
        <w:t xml:space="preserve">OCA did not oppose the Company’s proposed long-term </w:t>
      </w:r>
      <w:r w:rsidR="00233240" w:rsidRPr="00E951F4">
        <w:rPr>
          <w:sz w:val="26"/>
          <w:szCs w:val="26"/>
        </w:rPr>
        <w:t>S</w:t>
      </w:r>
      <w:r w:rsidRPr="00E951F4">
        <w:rPr>
          <w:sz w:val="26"/>
          <w:szCs w:val="26"/>
        </w:rPr>
        <w:t xml:space="preserve">olar PPA, it argued, however, that the Company should provide a long-term projection of future prices to justify the approval of the actual contract by the Commission.  </w:t>
      </w:r>
      <w:r w:rsidR="009912AC" w:rsidRPr="00E951F4">
        <w:rPr>
          <w:sz w:val="26"/>
          <w:szCs w:val="26"/>
        </w:rPr>
        <w:t xml:space="preserve">The </w:t>
      </w:r>
      <w:r w:rsidRPr="00E951F4">
        <w:rPr>
          <w:rFonts w:eastAsiaTheme="minorEastAsia"/>
          <w:sz w:val="26"/>
          <w:szCs w:val="26"/>
        </w:rPr>
        <w:t xml:space="preserve">OCA contended that Duquesne Light should demonstrate that any such long-term contract is expected to be at least revenue-neutral over its term. </w:t>
      </w:r>
      <w:r w:rsidRPr="00E951F4">
        <w:rPr>
          <w:sz w:val="26"/>
          <w:szCs w:val="26"/>
        </w:rPr>
        <w:t xml:space="preserve"> OCA M.B. at 3-7.</w:t>
      </w:r>
    </w:p>
    <w:p w14:paraId="54BE038A" w14:textId="77777777" w:rsidR="0023362C" w:rsidRPr="00E951F4" w:rsidRDefault="0023362C" w:rsidP="00E951F4">
      <w:pPr>
        <w:widowControl/>
        <w:kinsoku w:val="0"/>
        <w:overflowPunct w:val="0"/>
        <w:spacing w:line="360" w:lineRule="auto"/>
        <w:ind w:right="792"/>
        <w:jc w:val="both"/>
        <w:textAlignment w:val="baseline"/>
        <w:rPr>
          <w:sz w:val="26"/>
          <w:szCs w:val="26"/>
        </w:rPr>
      </w:pPr>
    </w:p>
    <w:p w14:paraId="6112B110" w14:textId="44DE23A4" w:rsidR="0023362C" w:rsidRPr="00E951F4" w:rsidRDefault="0023362C" w:rsidP="00E951F4">
      <w:pPr>
        <w:pStyle w:val="Heading3"/>
      </w:pPr>
      <w:bookmarkStart w:id="97" w:name="_Toc59620151"/>
      <w:bookmarkStart w:id="98" w:name="_Toc60912047"/>
      <w:r w:rsidRPr="00E951F4">
        <w:t>Recommended Decision</w:t>
      </w:r>
      <w:bookmarkEnd w:id="97"/>
      <w:bookmarkEnd w:id="98"/>
    </w:p>
    <w:p w14:paraId="251F93FF" w14:textId="77777777" w:rsidR="0023362C" w:rsidRPr="00E951F4" w:rsidRDefault="0023362C" w:rsidP="00E951F4">
      <w:pPr>
        <w:keepNext/>
        <w:widowControl/>
        <w:kinsoku w:val="0"/>
        <w:overflowPunct w:val="0"/>
        <w:spacing w:line="360" w:lineRule="auto"/>
        <w:ind w:right="792"/>
        <w:jc w:val="both"/>
        <w:textAlignment w:val="baseline"/>
        <w:rPr>
          <w:sz w:val="26"/>
          <w:szCs w:val="26"/>
        </w:rPr>
      </w:pPr>
    </w:p>
    <w:p w14:paraId="477D67AA" w14:textId="605C1313" w:rsidR="0023362C" w:rsidRPr="00E951F4" w:rsidRDefault="0023362C" w:rsidP="00E951F4">
      <w:pPr>
        <w:keepNext/>
        <w:widowControl/>
        <w:kinsoku w:val="0"/>
        <w:overflowPunct w:val="0"/>
        <w:spacing w:line="360" w:lineRule="auto"/>
        <w:ind w:right="216" w:firstLine="1440"/>
        <w:textAlignment w:val="baseline"/>
        <w:rPr>
          <w:rFonts w:eastAsiaTheme="minorEastAsia"/>
          <w:sz w:val="26"/>
          <w:szCs w:val="26"/>
        </w:rPr>
      </w:pPr>
      <w:r w:rsidRPr="00E951F4">
        <w:rPr>
          <w:sz w:val="26"/>
          <w:szCs w:val="26"/>
        </w:rPr>
        <w:t xml:space="preserve">The ALJ concluded that Duquesne Light justified the solicitation of a </w:t>
      </w:r>
      <w:r w:rsidR="00E62E6C" w:rsidRPr="00E951F4">
        <w:rPr>
          <w:sz w:val="26"/>
          <w:szCs w:val="26"/>
        </w:rPr>
        <w:t>seven</w:t>
      </w:r>
      <w:r w:rsidRPr="00E951F4">
        <w:rPr>
          <w:sz w:val="26"/>
          <w:szCs w:val="26"/>
        </w:rPr>
        <w:t xml:space="preserve"> MW long-term </w:t>
      </w:r>
      <w:r w:rsidR="009A29DE" w:rsidRPr="00E951F4">
        <w:rPr>
          <w:sz w:val="26"/>
          <w:szCs w:val="26"/>
        </w:rPr>
        <w:t>S</w:t>
      </w:r>
      <w:r w:rsidRPr="00E951F4">
        <w:rPr>
          <w:sz w:val="26"/>
          <w:szCs w:val="26"/>
        </w:rPr>
        <w:t xml:space="preserve">olar PPA for development in Pennsylvania, preferably in the Company’s service territory.  Duquesne Light’s proposed </w:t>
      </w:r>
      <w:r w:rsidR="00E62E6C" w:rsidRPr="00E951F4">
        <w:rPr>
          <w:sz w:val="26"/>
          <w:szCs w:val="26"/>
        </w:rPr>
        <w:t>seven</w:t>
      </w:r>
      <w:r w:rsidRPr="00E951F4">
        <w:rPr>
          <w:sz w:val="26"/>
          <w:szCs w:val="26"/>
        </w:rPr>
        <w:t xml:space="preserve"> MW </w:t>
      </w:r>
      <w:r w:rsidR="002B35A8" w:rsidRPr="00E951F4">
        <w:rPr>
          <w:sz w:val="26"/>
          <w:szCs w:val="26"/>
        </w:rPr>
        <w:t>S</w:t>
      </w:r>
      <w:r w:rsidRPr="00E951F4">
        <w:rPr>
          <w:sz w:val="26"/>
          <w:szCs w:val="26"/>
        </w:rPr>
        <w:t xml:space="preserve">olar PPA provides a prudent amendment to past supply mixes approved by the Commission for the Company.  </w:t>
      </w:r>
      <w:r w:rsidR="009E0A09" w:rsidRPr="00E951F4">
        <w:rPr>
          <w:sz w:val="26"/>
          <w:szCs w:val="26"/>
        </w:rPr>
        <w:t xml:space="preserve">R.D. at 47 (citing </w:t>
      </w:r>
      <w:r w:rsidRPr="00E951F4">
        <w:rPr>
          <w:sz w:val="26"/>
          <w:szCs w:val="26"/>
        </w:rPr>
        <w:t>Duquesne Light St. 1 at 14-15 and Duquesne Light St. 3-R at 13-14</w:t>
      </w:r>
      <w:r w:rsidR="006C071C" w:rsidRPr="00E951F4">
        <w:rPr>
          <w:sz w:val="26"/>
          <w:szCs w:val="26"/>
        </w:rPr>
        <w:t>)</w:t>
      </w:r>
      <w:r w:rsidRPr="00E951F4">
        <w:rPr>
          <w:sz w:val="26"/>
          <w:szCs w:val="26"/>
        </w:rPr>
        <w:t xml:space="preserve">.  </w:t>
      </w:r>
      <w:r w:rsidR="00E62E6C" w:rsidRPr="00E951F4">
        <w:rPr>
          <w:sz w:val="26"/>
          <w:szCs w:val="26"/>
        </w:rPr>
        <w:t>Regarding the OCA’s recommendation, t</w:t>
      </w:r>
      <w:r w:rsidR="006C071C" w:rsidRPr="00E951F4">
        <w:rPr>
          <w:sz w:val="26"/>
          <w:szCs w:val="26"/>
        </w:rPr>
        <w:t xml:space="preserve">he ALJ </w:t>
      </w:r>
      <w:r w:rsidR="00E71088" w:rsidRPr="00E951F4">
        <w:rPr>
          <w:sz w:val="26"/>
          <w:szCs w:val="26"/>
        </w:rPr>
        <w:t>stated t</w:t>
      </w:r>
      <w:r w:rsidRPr="00E951F4">
        <w:rPr>
          <w:rFonts w:eastAsiaTheme="minorEastAsia"/>
          <w:sz w:val="26"/>
          <w:szCs w:val="26"/>
        </w:rPr>
        <w:t xml:space="preserve">here is no need for a long-term projection of future prices to justify the approval of the actual contract by the Commission.  </w:t>
      </w:r>
      <w:r w:rsidR="00E62E6C" w:rsidRPr="00E951F4">
        <w:rPr>
          <w:rFonts w:eastAsiaTheme="minorEastAsia"/>
          <w:sz w:val="26"/>
          <w:szCs w:val="26"/>
        </w:rPr>
        <w:t>Rather, t</w:t>
      </w:r>
      <w:r w:rsidRPr="00E951F4">
        <w:rPr>
          <w:rFonts w:eastAsiaTheme="minorEastAsia"/>
          <w:sz w:val="26"/>
          <w:szCs w:val="26"/>
        </w:rPr>
        <w:t xml:space="preserve">he ALJ agreed with Duquesne Light that projecting long-term prices is speculative and without purpose in evaluating whether to proceed with a long-term contract.  The ALJ recommended that the Commission approve the </w:t>
      </w:r>
      <w:r w:rsidRPr="00E951F4">
        <w:rPr>
          <w:rFonts w:eastAsiaTheme="minorEastAsia"/>
          <w:sz w:val="26"/>
          <w:szCs w:val="26"/>
        </w:rPr>
        <w:lastRenderedPageBreak/>
        <w:t>Company’s proposal, as part of the DSP IX procurement plan, subject to its actual review of the contract with the selected project sponsor.</w:t>
      </w:r>
      <w:r w:rsidR="00E71088" w:rsidRPr="00E951F4">
        <w:rPr>
          <w:rFonts w:eastAsiaTheme="minorEastAsia"/>
          <w:sz w:val="26"/>
          <w:szCs w:val="26"/>
        </w:rPr>
        <w:t xml:space="preserve">  </w:t>
      </w:r>
      <w:r w:rsidR="00E46DAE" w:rsidRPr="00E951F4">
        <w:rPr>
          <w:rFonts w:eastAsiaTheme="minorEastAsia"/>
          <w:sz w:val="26"/>
          <w:szCs w:val="26"/>
        </w:rPr>
        <w:t xml:space="preserve">R.D. at 47.  </w:t>
      </w:r>
    </w:p>
    <w:p w14:paraId="30FED048" w14:textId="77777777" w:rsidR="0023362C" w:rsidRPr="00E951F4" w:rsidRDefault="0023362C" w:rsidP="00E951F4">
      <w:pPr>
        <w:widowControl/>
        <w:kinsoku w:val="0"/>
        <w:overflowPunct w:val="0"/>
        <w:spacing w:line="360" w:lineRule="auto"/>
        <w:ind w:right="792"/>
        <w:jc w:val="both"/>
        <w:textAlignment w:val="baseline"/>
        <w:rPr>
          <w:rFonts w:eastAsiaTheme="minorEastAsia"/>
          <w:sz w:val="26"/>
          <w:szCs w:val="26"/>
        </w:rPr>
      </w:pPr>
    </w:p>
    <w:p w14:paraId="3A8926BC" w14:textId="63DDCB25" w:rsidR="0023362C" w:rsidRPr="00E951F4" w:rsidRDefault="0023362C" w:rsidP="00E951F4">
      <w:pPr>
        <w:widowControl/>
        <w:kinsoku w:val="0"/>
        <w:overflowPunct w:val="0"/>
        <w:spacing w:line="360" w:lineRule="auto"/>
        <w:ind w:firstLine="1440"/>
        <w:textAlignment w:val="baseline"/>
        <w:rPr>
          <w:sz w:val="26"/>
          <w:szCs w:val="26"/>
        </w:rPr>
      </w:pPr>
      <w:r w:rsidRPr="00E951F4">
        <w:rPr>
          <w:rFonts w:eastAsiaTheme="minorEastAsia"/>
          <w:sz w:val="26"/>
          <w:szCs w:val="26"/>
        </w:rPr>
        <w:t xml:space="preserve">The ALJ noted that Duquesne Light provided evidence and detailed explanations of how its DSP meets the statutory prudent mix standard.  This evidence explains how the mix of contracts, which also includes products and terms previously employed and approved by the Commission, is designed to ensure least cost over time, taking into account the benefits of price stability and including prudent steps to obtain least cost generation supplies.  The ALJ further noted that Duquesne Light also supplied an extensive quantitative analysis regarding price stability benefits of the supply products in the plan and explained how it considered Commission guidance on the prudent mix to be employed.  </w:t>
      </w:r>
      <w:r w:rsidR="000B5F41" w:rsidRPr="00E951F4">
        <w:rPr>
          <w:rFonts w:eastAsiaTheme="minorEastAsia"/>
          <w:i/>
          <w:iCs/>
          <w:sz w:val="26"/>
          <w:szCs w:val="26"/>
        </w:rPr>
        <w:t>Id</w:t>
      </w:r>
      <w:r w:rsidR="000B5F41" w:rsidRPr="00E951F4">
        <w:rPr>
          <w:rFonts w:eastAsiaTheme="minorEastAsia"/>
          <w:sz w:val="26"/>
          <w:szCs w:val="26"/>
        </w:rPr>
        <w:t xml:space="preserve">.  </w:t>
      </w:r>
      <w:r w:rsidRPr="00E951F4">
        <w:rPr>
          <w:rFonts w:eastAsiaTheme="minorEastAsia"/>
          <w:sz w:val="26"/>
          <w:szCs w:val="26"/>
        </w:rPr>
        <w:t xml:space="preserve">In addition, the ALJ observed that, except with respect to MAREC’s and the EGS Parties’ specific concerns related to the </w:t>
      </w:r>
      <w:r w:rsidR="008B078E" w:rsidRPr="00E951F4">
        <w:rPr>
          <w:rFonts w:eastAsiaTheme="minorEastAsia"/>
          <w:sz w:val="26"/>
          <w:szCs w:val="26"/>
        </w:rPr>
        <w:t>S</w:t>
      </w:r>
      <w:r w:rsidRPr="00E951F4">
        <w:rPr>
          <w:rFonts w:eastAsiaTheme="minorEastAsia"/>
          <w:sz w:val="26"/>
          <w:szCs w:val="26"/>
        </w:rPr>
        <w:t xml:space="preserve">olar PPA, no party objected to the prudency of Company’s proposed contract mix, as memorialized in the Partial Settlement.  </w:t>
      </w:r>
      <w:r w:rsidR="000B5F41" w:rsidRPr="00E951F4">
        <w:rPr>
          <w:rFonts w:eastAsiaTheme="minorEastAsia"/>
          <w:i/>
          <w:iCs/>
          <w:sz w:val="26"/>
          <w:szCs w:val="26"/>
        </w:rPr>
        <w:t>Id</w:t>
      </w:r>
      <w:r w:rsidR="000B5F41" w:rsidRPr="00E951F4">
        <w:rPr>
          <w:rFonts w:eastAsiaTheme="minorEastAsia"/>
          <w:sz w:val="26"/>
          <w:szCs w:val="26"/>
        </w:rPr>
        <w:t xml:space="preserve">. (citing </w:t>
      </w:r>
      <w:r w:rsidRPr="00E951F4">
        <w:rPr>
          <w:rFonts w:eastAsiaTheme="minorEastAsia"/>
          <w:sz w:val="26"/>
          <w:szCs w:val="26"/>
        </w:rPr>
        <w:t>Duquesne Light St. 3 at 10-13 and 21-25</w:t>
      </w:r>
      <w:r w:rsidR="000B5F41" w:rsidRPr="00E951F4">
        <w:rPr>
          <w:rFonts w:eastAsiaTheme="minorEastAsia"/>
          <w:sz w:val="26"/>
          <w:szCs w:val="26"/>
        </w:rPr>
        <w:t>;</w:t>
      </w:r>
      <w:r w:rsidRPr="00E951F4">
        <w:rPr>
          <w:rFonts w:eastAsiaTheme="minorEastAsia"/>
          <w:sz w:val="26"/>
          <w:szCs w:val="26"/>
        </w:rPr>
        <w:t xml:space="preserve"> Duquesne Light St. 3-R at 30-31</w:t>
      </w:r>
      <w:r w:rsidR="000B5F41" w:rsidRPr="00E951F4">
        <w:rPr>
          <w:rFonts w:eastAsiaTheme="minorEastAsia"/>
          <w:sz w:val="26"/>
          <w:szCs w:val="26"/>
        </w:rPr>
        <w:t>;</w:t>
      </w:r>
      <w:r w:rsidRPr="00E951F4">
        <w:rPr>
          <w:rFonts w:eastAsiaTheme="minorEastAsia"/>
          <w:sz w:val="26"/>
          <w:szCs w:val="26"/>
        </w:rPr>
        <w:t xml:space="preserve"> Duquesne Light R.B. at 7-8</w:t>
      </w:r>
      <w:r w:rsidR="000B5F41" w:rsidRPr="00E951F4">
        <w:rPr>
          <w:rFonts w:eastAsiaTheme="minorEastAsia"/>
          <w:sz w:val="26"/>
          <w:szCs w:val="26"/>
        </w:rPr>
        <w:t>).</w:t>
      </w:r>
      <w:r w:rsidRPr="00E951F4">
        <w:rPr>
          <w:rFonts w:eastAsiaTheme="minorEastAsia"/>
          <w:sz w:val="26"/>
          <w:szCs w:val="26"/>
        </w:rPr>
        <w:t xml:space="preserve"> </w:t>
      </w:r>
    </w:p>
    <w:p w14:paraId="3A9FC633" w14:textId="77777777" w:rsidR="0023362C" w:rsidRPr="00E951F4" w:rsidRDefault="0023362C" w:rsidP="00E951F4">
      <w:pPr>
        <w:widowControl/>
        <w:kinsoku w:val="0"/>
        <w:overflowPunct w:val="0"/>
        <w:spacing w:line="360" w:lineRule="auto"/>
        <w:ind w:right="792"/>
        <w:textAlignment w:val="baseline"/>
        <w:rPr>
          <w:sz w:val="26"/>
          <w:szCs w:val="26"/>
        </w:rPr>
      </w:pPr>
    </w:p>
    <w:p w14:paraId="1E836C72" w14:textId="5DBD1000"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sz w:val="26"/>
          <w:szCs w:val="26"/>
        </w:rPr>
        <w:t xml:space="preserve">Taking each objecting party’s arguments in turn, the ALJ considered first, MAREC’s proposal to employ an “all-resource Request for Proposals followed by Integrated Resource Modelling to determine the least-cost mix of resources that meet the Company’s other requirements including its AECs obligation.”  </w:t>
      </w:r>
      <w:r w:rsidR="00885FCF" w:rsidRPr="00E951F4">
        <w:rPr>
          <w:sz w:val="26"/>
          <w:szCs w:val="26"/>
        </w:rPr>
        <w:t xml:space="preserve">R.D. at 48 (citing </w:t>
      </w:r>
      <w:r w:rsidRPr="00E951F4">
        <w:rPr>
          <w:sz w:val="26"/>
          <w:szCs w:val="26"/>
        </w:rPr>
        <w:t>MAREC M.B. at 5</w:t>
      </w:r>
      <w:r w:rsidR="00885FCF" w:rsidRPr="00E951F4">
        <w:rPr>
          <w:sz w:val="26"/>
          <w:szCs w:val="26"/>
        </w:rPr>
        <w:t>).</w:t>
      </w:r>
      <w:r w:rsidRPr="00E951F4">
        <w:rPr>
          <w:sz w:val="26"/>
          <w:szCs w:val="26"/>
        </w:rPr>
        <w:t xml:space="preserve">  The ALJ concluded that MAREC’s proposal does not address requirements for Commission approval in its presentation. </w:t>
      </w:r>
      <w:r w:rsidR="00885FCF" w:rsidRPr="00E951F4">
        <w:rPr>
          <w:sz w:val="26"/>
          <w:szCs w:val="26"/>
        </w:rPr>
        <w:t xml:space="preserve"> </w:t>
      </w:r>
      <w:r w:rsidR="00E62E6C" w:rsidRPr="00E951F4">
        <w:rPr>
          <w:sz w:val="26"/>
          <w:szCs w:val="26"/>
        </w:rPr>
        <w:t xml:space="preserve">According to the ALJ, </w:t>
      </w:r>
      <w:r w:rsidRPr="00E951F4">
        <w:rPr>
          <w:sz w:val="26"/>
          <w:szCs w:val="26"/>
        </w:rPr>
        <w:t xml:space="preserve">MAREC’s recommendation is vague and lacks the necessary specificity for it to be actionable or to address issues it may entail.  </w:t>
      </w:r>
      <w:r w:rsidR="00E62E6C" w:rsidRPr="00E951F4">
        <w:rPr>
          <w:sz w:val="26"/>
          <w:szCs w:val="26"/>
        </w:rPr>
        <w:t>The</w:t>
      </w:r>
      <w:r w:rsidRPr="00E951F4">
        <w:rPr>
          <w:sz w:val="26"/>
          <w:szCs w:val="26"/>
        </w:rPr>
        <w:t xml:space="preserve"> ALJ noted that, for example, MAREC failed to address the RFP design, the types of eligible resources, the products that would be solicited, the contract terms, the basis for selection of the winning bidders, how definitional differences between the different types of products would be considered, or how the process would be designed and implemented before the start of DSP IX on </w:t>
      </w:r>
      <w:r w:rsidRPr="00E951F4">
        <w:rPr>
          <w:sz w:val="26"/>
          <w:szCs w:val="26"/>
        </w:rPr>
        <w:lastRenderedPageBreak/>
        <w:t>June</w:t>
      </w:r>
      <w:r w:rsidR="00171FD8">
        <w:rPr>
          <w:sz w:val="26"/>
          <w:szCs w:val="26"/>
        </w:rPr>
        <w:t> </w:t>
      </w:r>
      <w:r w:rsidRPr="00E951F4">
        <w:rPr>
          <w:sz w:val="26"/>
          <w:szCs w:val="26"/>
        </w:rPr>
        <w:t xml:space="preserve">1, 2021.  </w:t>
      </w:r>
      <w:r w:rsidR="00ED55C1" w:rsidRPr="00E951F4">
        <w:rPr>
          <w:sz w:val="26"/>
          <w:szCs w:val="26"/>
        </w:rPr>
        <w:t xml:space="preserve">R.D. at 48 (citing </w:t>
      </w:r>
      <w:r w:rsidRPr="00E951F4">
        <w:rPr>
          <w:sz w:val="26"/>
          <w:szCs w:val="26"/>
        </w:rPr>
        <w:t>Duquesne Light St. 3-R at 28-30</w:t>
      </w:r>
      <w:r w:rsidR="00ED55C1" w:rsidRPr="00E951F4">
        <w:rPr>
          <w:sz w:val="26"/>
          <w:szCs w:val="26"/>
        </w:rPr>
        <w:t>;</w:t>
      </w:r>
      <w:r w:rsidRPr="00E951F4">
        <w:rPr>
          <w:sz w:val="26"/>
          <w:szCs w:val="26"/>
        </w:rPr>
        <w:t xml:space="preserve"> Duquesne Light St.</w:t>
      </w:r>
      <w:r w:rsidR="00171FD8">
        <w:rPr>
          <w:sz w:val="26"/>
          <w:szCs w:val="26"/>
        </w:rPr>
        <w:t> </w:t>
      </w:r>
      <w:r w:rsidRPr="00E951F4">
        <w:rPr>
          <w:sz w:val="26"/>
          <w:szCs w:val="26"/>
        </w:rPr>
        <w:t>3</w:t>
      </w:r>
      <w:r w:rsidR="00171FD8">
        <w:rPr>
          <w:sz w:val="26"/>
          <w:szCs w:val="26"/>
        </w:rPr>
        <w:noBreakHyphen/>
      </w:r>
      <w:r w:rsidRPr="00E951F4">
        <w:rPr>
          <w:sz w:val="26"/>
          <w:szCs w:val="26"/>
        </w:rPr>
        <w:t>RJ at 1-3</w:t>
      </w:r>
      <w:r w:rsidR="00ED55C1" w:rsidRPr="00E951F4">
        <w:rPr>
          <w:sz w:val="26"/>
          <w:szCs w:val="26"/>
        </w:rPr>
        <w:t>;</w:t>
      </w:r>
      <w:r w:rsidRPr="00E951F4">
        <w:rPr>
          <w:sz w:val="26"/>
          <w:szCs w:val="26"/>
        </w:rPr>
        <w:t xml:space="preserve"> Duquesne Light R.B. at 8</w:t>
      </w:r>
      <w:r w:rsidR="00ED55C1" w:rsidRPr="00E951F4">
        <w:rPr>
          <w:sz w:val="26"/>
          <w:szCs w:val="26"/>
        </w:rPr>
        <w:t>).</w:t>
      </w:r>
      <w:r w:rsidRPr="00E951F4">
        <w:rPr>
          <w:sz w:val="26"/>
          <w:szCs w:val="26"/>
        </w:rPr>
        <w:t xml:space="preserve"> </w:t>
      </w:r>
      <w:r w:rsidR="00ED55C1" w:rsidRPr="00E951F4">
        <w:rPr>
          <w:sz w:val="26"/>
          <w:szCs w:val="26"/>
        </w:rPr>
        <w:t xml:space="preserve"> </w:t>
      </w:r>
      <w:r w:rsidRPr="00E951F4">
        <w:rPr>
          <w:sz w:val="26"/>
          <w:szCs w:val="26"/>
        </w:rPr>
        <w:t>T</w:t>
      </w:r>
      <w:r w:rsidRPr="00E951F4">
        <w:rPr>
          <w:rFonts w:eastAsiaTheme="minorEastAsia"/>
          <w:sz w:val="26"/>
          <w:szCs w:val="26"/>
        </w:rPr>
        <w:t>he ALJ found that the evidence presented by MAREC in this proceeding does not justify a change in the DSP proposed by Duquesne Light.</w:t>
      </w:r>
      <w:r w:rsidR="009A3B88" w:rsidRPr="00E951F4">
        <w:rPr>
          <w:rFonts w:eastAsiaTheme="minorEastAsia"/>
          <w:sz w:val="26"/>
          <w:szCs w:val="26"/>
        </w:rPr>
        <w:t xml:space="preserve">  R.D. at 48.</w:t>
      </w:r>
    </w:p>
    <w:p w14:paraId="36A35CAC" w14:textId="77777777" w:rsidR="009A3B88" w:rsidRPr="00E951F4" w:rsidRDefault="009A3B88" w:rsidP="00E951F4">
      <w:pPr>
        <w:widowControl/>
        <w:kinsoku w:val="0"/>
        <w:overflowPunct w:val="0"/>
        <w:spacing w:line="360" w:lineRule="auto"/>
        <w:ind w:firstLine="1440"/>
        <w:textAlignment w:val="baseline"/>
        <w:rPr>
          <w:rFonts w:eastAsiaTheme="minorEastAsia"/>
          <w:sz w:val="26"/>
          <w:szCs w:val="26"/>
        </w:rPr>
      </w:pPr>
    </w:p>
    <w:p w14:paraId="32E403B1" w14:textId="784994E9" w:rsidR="0023362C" w:rsidRPr="00E951F4" w:rsidRDefault="0023362C" w:rsidP="00E951F4">
      <w:pPr>
        <w:widowControl/>
        <w:kinsoku w:val="0"/>
        <w:overflowPunct w:val="0"/>
        <w:spacing w:line="360" w:lineRule="auto"/>
        <w:ind w:left="144" w:right="144" w:firstLine="1440"/>
        <w:textAlignment w:val="baseline"/>
        <w:rPr>
          <w:rFonts w:eastAsiaTheme="minorEastAsia"/>
          <w:sz w:val="26"/>
          <w:szCs w:val="26"/>
        </w:rPr>
      </w:pPr>
      <w:r w:rsidRPr="00E951F4">
        <w:rPr>
          <w:rFonts w:eastAsiaTheme="minorEastAsia"/>
          <w:sz w:val="26"/>
          <w:szCs w:val="26"/>
        </w:rPr>
        <w:t xml:space="preserve">The ALJ also recognized that, while MAREC proposed a collaboration on long-term contracts with a possibility for requesting to reopen this DSP IX proceeding to change the plan, there is no basis to believe that further consideration of additional long-term renewable contracts would provide a basis for reconsideration of the supply mix ultimately approved by the Commission in this case.  </w:t>
      </w:r>
      <w:r w:rsidR="00CB45C3" w:rsidRPr="00E951F4">
        <w:rPr>
          <w:rFonts w:eastAsiaTheme="minorEastAsia"/>
          <w:i/>
          <w:iCs/>
          <w:sz w:val="26"/>
          <w:szCs w:val="26"/>
        </w:rPr>
        <w:t>Id</w:t>
      </w:r>
      <w:r w:rsidRPr="00E951F4">
        <w:rPr>
          <w:rFonts w:eastAsiaTheme="minorEastAsia"/>
          <w:sz w:val="26"/>
          <w:szCs w:val="26"/>
        </w:rPr>
        <w:t>.</w:t>
      </w:r>
    </w:p>
    <w:p w14:paraId="39E2B032" w14:textId="77777777" w:rsidR="00E62E6C" w:rsidRPr="00E951F4" w:rsidRDefault="00E62E6C" w:rsidP="00E951F4">
      <w:pPr>
        <w:widowControl/>
        <w:kinsoku w:val="0"/>
        <w:overflowPunct w:val="0"/>
        <w:spacing w:line="360" w:lineRule="auto"/>
        <w:ind w:left="144" w:right="144" w:firstLine="1440"/>
        <w:textAlignment w:val="baseline"/>
        <w:rPr>
          <w:rFonts w:eastAsiaTheme="minorEastAsia"/>
          <w:sz w:val="26"/>
          <w:szCs w:val="26"/>
        </w:rPr>
      </w:pPr>
    </w:p>
    <w:p w14:paraId="582E19A3" w14:textId="4D578F6E"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 xml:space="preserve">Turning next to the arguments presented by the EGS Parties, the ALJ noted that the Company is proposing to acquire a long-term contract for about half of its default service solar AEC requirements and is not offering a solar rate or product.  Therefore, the ALJ concluded that the issue is only whether a long-term </w:t>
      </w:r>
      <w:r w:rsidR="00FF3444" w:rsidRPr="00E951F4">
        <w:rPr>
          <w:rFonts w:eastAsiaTheme="minorEastAsia"/>
          <w:sz w:val="26"/>
          <w:szCs w:val="26"/>
        </w:rPr>
        <w:t>S</w:t>
      </w:r>
      <w:r w:rsidRPr="00E951F4">
        <w:rPr>
          <w:rFonts w:eastAsiaTheme="minorEastAsia"/>
          <w:sz w:val="26"/>
          <w:szCs w:val="26"/>
        </w:rPr>
        <w:t xml:space="preserve">olar PPA is an appropriate component of a prudent mix strategy for default service customers. </w:t>
      </w:r>
      <w:r w:rsidR="00FF3444" w:rsidRPr="00E951F4">
        <w:rPr>
          <w:rFonts w:eastAsiaTheme="minorEastAsia"/>
          <w:sz w:val="26"/>
          <w:szCs w:val="26"/>
        </w:rPr>
        <w:t xml:space="preserve"> </w:t>
      </w:r>
      <w:r w:rsidRPr="00E951F4">
        <w:rPr>
          <w:rFonts w:eastAsiaTheme="minorEastAsia"/>
          <w:sz w:val="26"/>
          <w:szCs w:val="26"/>
        </w:rPr>
        <w:t xml:space="preserve">The ALJ observed that </w:t>
      </w:r>
      <w:r w:rsidR="00FF3444" w:rsidRPr="00E951F4">
        <w:rPr>
          <w:rFonts w:eastAsiaTheme="minorEastAsia"/>
          <w:sz w:val="26"/>
          <w:szCs w:val="26"/>
        </w:rPr>
        <w:t xml:space="preserve">the </w:t>
      </w:r>
      <w:r w:rsidRPr="00E951F4">
        <w:rPr>
          <w:rFonts w:eastAsiaTheme="minorEastAsia"/>
          <w:sz w:val="26"/>
          <w:szCs w:val="26"/>
        </w:rPr>
        <w:t xml:space="preserve">only argument the EGS Parties made in this regard is that the price under the PPA may deviate from the market in some future years.  The ALJ agreed with Duquesne Light that, if this were a basis for objecting, then all long-term contracts should be prohibited.  Notably, however, the </w:t>
      </w:r>
      <w:r w:rsidR="00F15A65" w:rsidRPr="00E951F4">
        <w:rPr>
          <w:rFonts w:eastAsiaTheme="minorEastAsia"/>
          <w:sz w:val="26"/>
          <w:szCs w:val="26"/>
        </w:rPr>
        <w:t>Competition Act</w:t>
      </w:r>
      <w:r w:rsidRPr="00E951F4">
        <w:rPr>
          <w:rFonts w:eastAsiaTheme="minorEastAsia"/>
          <w:sz w:val="26"/>
          <w:szCs w:val="26"/>
        </w:rPr>
        <w:t xml:space="preserve"> specifically permits long-term contracts of between </w:t>
      </w:r>
      <w:r w:rsidR="006B0AEC" w:rsidRPr="00E951F4">
        <w:rPr>
          <w:rFonts w:eastAsiaTheme="minorEastAsia"/>
          <w:sz w:val="26"/>
          <w:szCs w:val="26"/>
        </w:rPr>
        <w:t>four</w:t>
      </w:r>
      <w:r w:rsidRPr="00E951F4">
        <w:rPr>
          <w:rFonts w:eastAsiaTheme="minorEastAsia"/>
          <w:sz w:val="26"/>
          <w:szCs w:val="26"/>
        </w:rPr>
        <w:t xml:space="preserve"> to </w:t>
      </w:r>
      <w:r w:rsidR="006B0AEC" w:rsidRPr="00E951F4">
        <w:rPr>
          <w:rFonts w:eastAsiaTheme="minorEastAsia"/>
          <w:sz w:val="26"/>
          <w:szCs w:val="26"/>
        </w:rPr>
        <w:t>twenty</w:t>
      </w:r>
      <w:r w:rsidRPr="00E951F4">
        <w:rPr>
          <w:rFonts w:eastAsiaTheme="minorEastAsia"/>
          <w:sz w:val="26"/>
          <w:szCs w:val="26"/>
        </w:rPr>
        <w:t xml:space="preserve"> years. </w:t>
      </w:r>
      <w:r w:rsidR="006B0AEC" w:rsidRPr="00E951F4">
        <w:rPr>
          <w:rFonts w:eastAsiaTheme="minorEastAsia"/>
          <w:sz w:val="26"/>
          <w:szCs w:val="26"/>
        </w:rPr>
        <w:t xml:space="preserve"> </w:t>
      </w:r>
      <w:r w:rsidR="00136927" w:rsidRPr="00E951F4">
        <w:rPr>
          <w:rFonts w:eastAsiaTheme="minorEastAsia"/>
          <w:sz w:val="26"/>
          <w:szCs w:val="26"/>
        </w:rPr>
        <w:t xml:space="preserve">R.D. at 48 (citing </w:t>
      </w:r>
      <w:r w:rsidRPr="00E951F4">
        <w:rPr>
          <w:rFonts w:eastAsiaTheme="minorEastAsia"/>
          <w:sz w:val="26"/>
          <w:szCs w:val="26"/>
        </w:rPr>
        <w:t>66 Pa.C.S. § 2807(e)(3.2)</w:t>
      </w:r>
      <w:r w:rsidR="00136927" w:rsidRPr="00E951F4">
        <w:rPr>
          <w:rFonts w:eastAsiaTheme="minorEastAsia"/>
          <w:sz w:val="26"/>
          <w:szCs w:val="26"/>
        </w:rPr>
        <w:t>;</w:t>
      </w:r>
      <w:r w:rsidRPr="00E951F4">
        <w:rPr>
          <w:rFonts w:eastAsiaTheme="minorEastAsia"/>
          <w:sz w:val="26"/>
          <w:szCs w:val="26"/>
        </w:rPr>
        <w:t xml:space="preserve"> Duquesne Light R.B. at 10-11</w:t>
      </w:r>
      <w:r w:rsidR="00136927" w:rsidRPr="00E951F4">
        <w:rPr>
          <w:rFonts w:eastAsiaTheme="minorEastAsia"/>
          <w:sz w:val="26"/>
          <w:szCs w:val="26"/>
        </w:rPr>
        <w:t>)</w:t>
      </w:r>
      <w:r w:rsidRPr="00E951F4">
        <w:rPr>
          <w:rFonts w:eastAsiaTheme="minorEastAsia"/>
          <w:sz w:val="26"/>
          <w:szCs w:val="26"/>
        </w:rPr>
        <w:t xml:space="preserve">.  </w:t>
      </w:r>
    </w:p>
    <w:p w14:paraId="7B9A70E1" w14:textId="77777777" w:rsidR="0023362C" w:rsidRPr="00E951F4" w:rsidRDefault="0023362C" w:rsidP="00E951F4">
      <w:pPr>
        <w:widowControl/>
        <w:kinsoku w:val="0"/>
        <w:overflowPunct w:val="0"/>
        <w:spacing w:line="360" w:lineRule="auto"/>
        <w:ind w:right="792"/>
        <w:jc w:val="both"/>
        <w:textAlignment w:val="baseline"/>
        <w:rPr>
          <w:sz w:val="26"/>
          <w:szCs w:val="26"/>
        </w:rPr>
      </w:pPr>
    </w:p>
    <w:p w14:paraId="6EE972CD" w14:textId="67A307E3" w:rsidR="0023362C" w:rsidRPr="00E951F4" w:rsidRDefault="0023362C" w:rsidP="00E951F4">
      <w:pPr>
        <w:widowControl/>
        <w:kinsoku w:val="0"/>
        <w:overflowPunct w:val="0"/>
        <w:spacing w:line="360" w:lineRule="auto"/>
        <w:ind w:firstLine="1440"/>
        <w:textAlignment w:val="baseline"/>
        <w:rPr>
          <w:sz w:val="26"/>
          <w:szCs w:val="26"/>
        </w:rPr>
      </w:pPr>
      <w:r w:rsidRPr="00E951F4">
        <w:rPr>
          <w:sz w:val="26"/>
          <w:szCs w:val="26"/>
        </w:rPr>
        <w:t xml:space="preserve">Next addressing the EGS Parties’ argument that </w:t>
      </w:r>
      <w:r w:rsidR="004D64D0" w:rsidRPr="00E951F4">
        <w:rPr>
          <w:sz w:val="26"/>
          <w:szCs w:val="26"/>
        </w:rPr>
        <w:t xml:space="preserve">the </w:t>
      </w:r>
      <w:r w:rsidRPr="00E951F4">
        <w:rPr>
          <w:sz w:val="26"/>
          <w:szCs w:val="26"/>
        </w:rPr>
        <w:t xml:space="preserve">sale of the energy from the solar facility places the Company back in the generation business, the ALJ explained that the critical requirement under the AEPS Act is for the EDC to obtain requisite AECs.  The ALJ noted that Duquesne Light’s procurement of a </w:t>
      </w:r>
      <w:r w:rsidR="00E62E6C" w:rsidRPr="00E951F4">
        <w:rPr>
          <w:sz w:val="26"/>
          <w:szCs w:val="26"/>
        </w:rPr>
        <w:t>seven</w:t>
      </w:r>
      <w:r w:rsidRPr="00E951F4">
        <w:rPr>
          <w:sz w:val="26"/>
          <w:szCs w:val="26"/>
        </w:rPr>
        <w:t xml:space="preserve"> MW long-term solar contract is expected to secure slightly more than 50% of the required solar AECs on a long-term basis.  Further, the Company proposes to sell this energy into the market, and </w:t>
      </w:r>
      <w:r w:rsidRPr="00E951F4">
        <w:rPr>
          <w:sz w:val="26"/>
          <w:szCs w:val="26"/>
        </w:rPr>
        <w:lastRenderedPageBreak/>
        <w:t>credit the sales revenue to the default service reconciliation.</w:t>
      </w:r>
      <w:r w:rsidR="00BD335B" w:rsidRPr="00E951F4">
        <w:rPr>
          <w:sz w:val="26"/>
          <w:szCs w:val="26"/>
        </w:rPr>
        <w:t xml:space="preserve">  R.D. at 49 (citing</w:t>
      </w:r>
      <w:r w:rsidRPr="00E951F4">
        <w:rPr>
          <w:sz w:val="26"/>
          <w:szCs w:val="26"/>
        </w:rPr>
        <w:t xml:space="preserve"> 73 P.S. §1648.1 </w:t>
      </w:r>
      <w:r w:rsidRPr="00E951F4">
        <w:rPr>
          <w:i/>
          <w:iCs/>
          <w:sz w:val="26"/>
          <w:szCs w:val="26"/>
        </w:rPr>
        <w:t>et. seq.</w:t>
      </w:r>
      <w:r w:rsidR="00BD335B" w:rsidRPr="00E951F4">
        <w:rPr>
          <w:sz w:val="26"/>
          <w:szCs w:val="26"/>
        </w:rPr>
        <w:t>;</w:t>
      </w:r>
      <w:r w:rsidRPr="00E951F4">
        <w:rPr>
          <w:sz w:val="26"/>
          <w:szCs w:val="26"/>
        </w:rPr>
        <w:t xml:space="preserve"> Duquesne Light R.B. at 11</w:t>
      </w:r>
      <w:r w:rsidR="00BD335B" w:rsidRPr="00E951F4">
        <w:rPr>
          <w:sz w:val="26"/>
          <w:szCs w:val="26"/>
        </w:rPr>
        <w:t>).</w:t>
      </w:r>
    </w:p>
    <w:p w14:paraId="0CE62779" w14:textId="77777777" w:rsidR="0023362C" w:rsidRPr="00E951F4" w:rsidRDefault="0023362C" w:rsidP="00E951F4">
      <w:pPr>
        <w:widowControl/>
        <w:kinsoku w:val="0"/>
        <w:overflowPunct w:val="0"/>
        <w:spacing w:line="360" w:lineRule="auto"/>
        <w:ind w:right="792"/>
        <w:jc w:val="both"/>
        <w:textAlignment w:val="baseline"/>
        <w:rPr>
          <w:sz w:val="26"/>
          <w:szCs w:val="26"/>
        </w:rPr>
      </w:pPr>
    </w:p>
    <w:p w14:paraId="74851051" w14:textId="7637752A" w:rsidR="0023362C" w:rsidRPr="00E951F4" w:rsidRDefault="0023362C" w:rsidP="00E951F4">
      <w:pPr>
        <w:widowControl/>
        <w:kinsoku w:val="0"/>
        <w:overflowPunct w:val="0"/>
        <w:spacing w:line="360" w:lineRule="auto"/>
        <w:ind w:firstLine="1440"/>
        <w:textAlignment w:val="baseline"/>
        <w:rPr>
          <w:sz w:val="26"/>
          <w:szCs w:val="26"/>
        </w:rPr>
      </w:pPr>
      <w:bookmarkStart w:id="99" w:name="_Hlk59616182"/>
      <w:r w:rsidRPr="00E951F4">
        <w:rPr>
          <w:sz w:val="26"/>
          <w:szCs w:val="26"/>
        </w:rPr>
        <w:t xml:space="preserve">The ALJ agreed with Duquesne Light that, contrary to the EGS Parties’ contention, the sale of this energy does not put the Company </w:t>
      </w:r>
      <w:r w:rsidR="00E62E6C" w:rsidRPr="00E951F4">
        <w:rPr>
          <w:sz w:val="26"/>
          <w:szCs w:val="26"/>
        </w:rPr>
        <w:t xml:space="preserve">back </w:t>
      </w:r>
      <w:r w:rsidRPr="00E951F4">
        <w:rPr>
          <w:sz w:val="26"/>
          <w:szCs w:val="26"/>
        </w:rPr>
        <w:t xml:space="preserve">in the generation business.  The Company will not own the solar generating facility; instead, the working of the </w:t>
      </w:r>
      <w:r w:rsidR="00E62E6C" w:rsidRPr="00E951F4">
        <w:rPr>
          <w:sz w:val="26"/>
          <w:szCs w:val="26"/>
        </w:rPr>
        <w:t>S</w:t>
      </w:r>
      <w:r w:rsidRPr="00E951F4">
        <w:rPr>
          <w:sz w:val="26"/>
          <w:szCs w:val="26"/>
        </w:rPr>
        <w:t xml:space="preserve">olar PPA would simply be a process to balance supply and demand and obtain for default service customers additional value from the </w:t>
      </w:r>
      <w:r w:rsidR="00BD335B" w:rsidRPr="00E951F4">
        <w:rPr>
          <w:sz w:val="26"/>
          <w:szCs w:val="26"/>
        </w:rPr>
        <w:t>S</w:t>
      </w:r>
      <w:r w:rsidRPr="00E951F4">
        <w:rPr>
          <w:sz w:val="26"/>
          <w:szCs w:val="26"/>
        </w:rPr>
        <w:t>olar PPA.  The ALJ noted that the Commission has previously permitted a Default Service Supplier to sell excess energy into the market when default service supply purchased under a block product exceed</w:t>
      </w:r>
      <w:r w:rsidR="0095193C" w:rsidRPr="00E951F4">
        <w:rPr>
          <w:sz w:val="26"/>
          <w:szCs w:val="26"/>
        </w:rPr>
        <w:t>ed</w:t>
      </w:r>
      <w:r w:rsidRPr="00E951F4">
        <w:rPr>
          <w:sz w:val="26"/>
          <w:szCs w:val="26"/>
        </w:rPr>
        <w:t xml:space="preserve"> the demands of default service customers.  </w:t>
      </w:r>
      <w:r w:rsidR="00F6731C" w:rsidRPr="00E951F4">
        <w:rPr>
          <w:sz w:val="26"/>
          <w:szCs w:val="26"/>
        </w:rPr>
        <w:t xml:space="preserve">R.D. at 49.  </w:t>
      </w:r>
      <w:r w:rsidR="00A47F2E" w:rsidRPr="00E951F4">
        <w:rPr>
          <w:sz w:val="26"/>
          <w:szCs w:val="26"/>
        </w:rPr>
        <w:t>Thus, t</w:t>
      </w:r>
      <w:r w:rsidR="00BD335B" w:rsidRPr="00E951F4">
        <w:rPr>
          <w:sz w:val="26"/>
          <w:szCs w:val="26"/>
        </w:rPr>
        <w:t>he ALJ found that</w:t>
      </w:r>
      <w:r w:rsidR="00A47F2E" w:rsidRPr="00E951F4">
        <w:rPr>
          <w:sz w:val="26"/>
          <w:szCs w:val="26"/>
        </w:rPr>
        <w:t xml:space="preserve"> an EDC’s sale </w:t>
      </w:r>
      <w:r w:rsidRPr="00E951F4">
        <w:rPr>
          <w:sz w:val="26"/>
          <w:szCs w:val="26"/>
        </w:rPr>
        <w:t xml:space="preserve">of </w:t>
      </w:r>
      <w:r w:rsidR="00A47F2E" w:rsidRPr="00E951F4">
        <w:rPr>
          <w:sz w:val="26"/>
          <w:szCs w:val="26"/>
        </w:rPr>
        <w:t xml:space="preserve">excess </w:t>
      </w:r>
      <w:r w:rsidRPr="00E951F4">
        <w:rPr>
          <w:sz w:val="26"/>
          <w:szCs w:val="26"/>
        </w:rPr>
        <w:t xml:space="preserve">energy </w:t>
      </w:r>
      <w:r w:rsidR="00661866" w:rsidRPr="00E951F4">
        <w:rPr>
          <w:sz w:val="26"/>
          <w:szCs w:val="26"/>
        </w:rPr>
        <w:t xml:space="preserve">that was </w:t>
      </w:r>
      <w:r w:rsidRPr="00E951F4">
        <w:rPr>
          <w:sz w:val="26"/>
          <w:szCs w:val="26"/>
        </w:rPr>
        <w:t xml:space="preserve">purchased to serve default service load </w:t>
      </w:r>
      <w:r w:rsidR="00A47F2E" w:rsidRPr="00E951F4">
        <w:rPr>
          <w:sz w:val="26"/>
          <w:szCs w:val="26"/>
        </w:rPr>
        <w:t>is</w:t>
      </w:r>
      <w:r w:rsidRPr="00E951F4">
        <w:rPr>
          <w:sz w:val="26"/>
          <w:szCs w:val="26"/>
        </w:rPr>
        <w:t xml:space="preserve"> not prohibited by the </w:t>
      </w:r>
      <w:r w:rsidR="00F15A65" w:rsidRPr="00E951F4">
        <w:rPr>
          <w:sz w:val="26"/>
          <w:szCs w:val="26"/>
        </w:rPr>
        <w:t>Competition Act</w:t>
      </w:r>
      <w:r w:rsidRPr="00E951F4">
        <w:rPr>
          <w:sz w:val="26"/>
          <w:szCs w:val="26"/>
        </w:rPr>
        <w:t xml:space="preserve">, as contended by the EGS Parties.  </w:t>
      </w:r>
      <w:r w:rsidR="00F6731C" w:rsidRPr="00E951F4">
        <w:rPr>
          <w:i/>
          <w:iCs/>
          <w:sz w:val="26"/>
          <w:szCs w:val="26"/>
        </w:rPr>
        <w:t>Id</w:t>
      </w:r>
      <w:r w:rsidR="00F6731C" w:rsidRPr="00E951F4">
        <w:rPr>
          <w:sz w:val="26"/>
          <w:szCs w:val="26"/>
        </w:rPr>
        <w:t xml:space="preserve">. (citing </w:t>
      </w:r>
      <w:r w:rsidRPr="00E951F4">
        <w:rPr>
          <w:i/>
          <w:iCs/>
          <w:sz w:val="26"/>
          <w:szCs w:val="26"/>
        </w:rPr>
        <w:t>Petition of PECO Energy for Approval of Default Service Program and Rate Mitigation Plan</w:t>
      </w:r>
      <w:r w:rsidRPr="00E951F4">
        <w:rPr>
          <w:sz w:val="26"/>
          <w:szCs w:val="26"/>
        </w:rPr>
        <w:t>, Docket No. P-2008-2062739 (Order entered April 16, 2009), at 6-7, 9; Duquesne Light R.B. at 11</w:t>
      </w:r>
      <w:r w:rsidR="00F6731C" w:rsidRPr="00E951F4">
        <w:rPr>
          <w:sz w:val="26"/>
          <w:szCs w:val="26"/>
        </w:rPr>
        <w:t>).</w:t>
      </w:r>
    </w:p>
    <w:bookmarkEnd w:id="99"/>
    <w:p w14:paraId="77065164" w14:textId="77777777" w:rsidR="00200FDC" w:rsidRPr="00E951F4" w:rsidRDefault="00200FDC" w:rsidP="00E951F4">
      <w:pPr>
        <w:widowControl/>
        <w:kinsoku w:val="0"/>
        <w:overflowPunct w:val="0"/>
        <w:spacing w:line="360" w:lineRule="auto"/>
        <w:ind w:firstLine="1440"/>
        <w:textAlignment w:val="baseline"/>
        <w:rPr>
          <w:sz w:val="26"/>
          <w:szCs w:val="26"/>
        </w:rPr>
      </w:pPr>
    </w:p>
    <w:p w14:paraId="53B487FF" w14:textId="6568612D" w:rsidR="0023362C" w:rsidRPr="00E951F4" w:rsidRDefault="0023362C" w:rsidP="00E951F4">
      <w:pPr>
        <w:widowControl/>
        <w:kinsoku w:val="0"/>
        <w:overflowPunct w:val="0"/>
        <w:spacing w:line="360" w:lineRule="auto"/>
        <w:ind w:firstLine="1440"/>
        <w:textAlignment w:val="baseline"/>
        <w:rPr>
          <w:sz w:val="26"/>
          <w:szCs w:val="26"/>
        </w:rPr>
      </w:pPr>
      <w:r w:rsidRPr="00E951F4">
        <w:rPr>
          <w:sz w:val="26"/>
          <w:szCs w:val="26"/>
        </w:rPr>
        <w:t xml:space="preserve">The ALJ </w:t>
      </w:r>
      <w:r w:rsidR="00185BA5" w:rsidRPr="00E951F4">
        <w:rPr>
          <w:sz w:val="26"/>
          <w:szCs w:val="26"/>
        </w:rPr>
        <w:t>found</w:t>
      </w:r>
      <w:r w:rsidRPr="00E951F4">
        <w:rPr>
          <w:sz w:val="26"/>
          <w:szCs w:val="26"/>
        </w:rPr>
        <w:t xml:space="preserve"> important that, in its last DSP proceeding, DSP VIII, Duquesne Light sought a PPA to purchase only solar AECs.  </w:t>
      </w:r>
      <w:r w:rsidR="00185BA5" w:rsidRPr="00E951F4">
        <w:rPr>
          <w:sz w:val="26"/>
          <w:szCs w:val="26"/>
        </w:rPr>
        <w:t>The Company</w:t>
      </w:r>
      <w:r w:rsidRPr="00E951F4">
        <w:rPr>
          <w:sz w:val="26"/>
          <w:szCs w:val="26"/>
        </w:rPr>
        <w:t xml:space="preserve"> found that solar developers were not interested in disaggregating the credits from the energy supply.  Thus, the ALJ explained, the proposed long-term </w:t>
      </w:r>
      <w:r w:rsidR="00185BA5" w:rsidRPr="00E951F4">
        <w:rPr>
          <w:sz w:val="26"/>
          <w:szCs w:val="26"/>
        </w:rPr>
        <w:t>S</w:t>
      </w:r>
      <w:r w:rsidRPr="00E951F4">
        <w:rPr>
          <w:sz w:val="26"/>
          <w:szCs w:val="26"/>
        </w:rPr>
        <w:t>olar PPA in this case is designed to resolve that problem and provide long</w:t>
      </w:r>
      <w:r w:rsidR="00A91495" w:rsidRPr="00E951F4">
        <w:rPr>
          <w:sz w:val="26"/>
          <w:szCs w:val="26"/>
        </w:rPr>
        <w:t>-</w:t>
      </w:r>
      <w:r w:rsidRPr="00E951F4">
        <w:rPr>
          <w:sz w:val="26"/>
          <w:szCs w:val="26"/>
        </w:rPr>
        <w:t xml:space="preserve">term solar AECs required by the </w:t>
      </w:r>
      <w:r w:rsidR="00F15A65" w:rsidRPr="00E951F4">
        <w:rPr>
          <w:sz w:val="26"/>
          <w:szCs w:val="26"/>
        </w:rPr>
        <w:t>Competition Act</w:t>
      </w:r>
      <w:r w:rsidRPr="00E951F4">
        <w:rPr>
          <w:sz w:val="26"/>
          <w:szCs w:val="26"/>
        </w:rPr>
        <w:t xml:space="preserve"> for default service customers.  </w:t>
      </w:r>
      <w:r w:rsidR="0065499C" w:rsidRPr="00E951F4">
        <w:rPr>
          <w:sz w:val="26"/>
          <w:szCs w:val="26"/>
        </w:rPr>
        <w:t xml:space="preserve">R.D. at 49 (citing </w:t>
      </w:r>
      <w:r w:rsidRPr="00E951F4">
        <w:rPr>
          <w:sz w:val="26"/>
          <w:szCs w:val="26"/>
        </w:rPr>
        <w:t>Duquesne Light St. 1 at 16</w:t>
      </w:r>
      <w:r w:rsidR="0065499C" w:rsidRPr="00E951F4">
        <w:rPr>
          <w:sz w:val="26"/>
          <w:szCs w:val="26"/>
        </w:rPr>
        <w:t>;</w:t>
      </w:r>
      <w:r w:rsidRPr="00E951F4">
        <w:rPr>
          <w:sz w:val="26"/>
          <w:szCs w:val="26"/>
        </w:rPr>
        <w:t xml:space="preserve"> Duquesne Light R.B. at 12</w:t>
      </w:r>
      <w:r w:rsidR="0065499C" w:rsidRPr="00E951F4">
        <w:rPr>
          <w:sz w:val="26"/>
          <w:szCs w:val="26"/>
        </w:rPr>
        <w:t>)</w:t>
      </w:r>
      <w:r w:rsidRPr="00E951F4">
        <w:rPr>
          <w:sz w:val="26"/>
          <w:szCs w:val="26"/>
        </w:rPr>
        <w:t xml:space="preserve">. </w:t>
      </w:r>
    </w:p>
    <w:p w14:paraId="4FD2207F" w14:textId="77777777" w:rsidR="0023362C" w:rsidRPr="00E951F4" w:rsidRDefault="0023362C" w:rsidP="00E951F4">
      <w:pPr>
        <w:widowControl/>
        <w:kinsoku w:val="0"/>
        <w:overflowPunct w:val="0"/>
        <w:spacing w:line="360" w:lineRule="auto"/>
        <w:ind w:right="792"/>
        <w:jc w:val="both"/>
        <w:textAlignment w:val="baseline"/>
        <w:rPr>
          <w:sz w:val="26"/>
          <w:szCs w:val="26"/>
        </w:rPr>
      </w:pPr>
    </w:p>
    <w:p w14:paraId="4B358054" w14:textId="75F62746" w:rsidR="0023362C" w:rsidRPr="00E951F4" w:rsidRDefault="0023362C" w:rsidP="00E951F4">
      <w:pPr>
        <w:widowControl/>
        <w:kinsoku w:val="0"/>
        <w:overflowPunct w:val="0"/>
        <w:spacing w:line="360" w:lineRule="auto"/>
        <w:ind w:firstLine="1440"/>
        <w:textAlignment w:val="baseline"/>
        <w:rPr>
          <w:sz w:val="26"/>
          <w:szCs w:val="26"/>
        </w:rPr>
      </w:pPr>
      <w:r w:rsidRPr="00E951F4">
        <w:rPr>
          <w:sz w:val="26"/>
          <w:szCs w:val="26"/>
        </w:rPr>
        <w:t>Next</w:t>
      </w:r>
      <w:r w:rsidR="00A91495" w:rsidRPr="00E951F4">
        <w:rPr>
          <w:sz w:val="26"/>
          <w:szCs w:val="26"/>
        </w:rPr>
        <w:t>,</w:t>
      </w:r>
      <w:r w:rsidRPr="00E951F4">
        <w:rPr>
          <w:sz w:val="26"/>
          <w:szCs w:val="26"/>
        </w:rPr>
        <w:t xml:space="preserve"> addressing the EGS Parties’ contention that capacity from the </w:t>
      </w:r>
      <w:r w:rsidR="00A91495" w:rsidRPr="00E951F4">
        <w:rPr>
          <w:sz w:val="26"/>
          <w:szCs w:val="26"/>
        </w:rPr>
        <w:t>S</w:t>
      </w:r>
      <w:r w:rsidRPr="00E951F4">
        <w:rPr>
          <w:sz w:val="26"/>
          <w:szCs w:val="26"/>
        </w:rPr>
        <w:t>olar PPA</w:t>
      </w:r>
      <w:r w:rsidR="00370B39" w:rsidRPr="00E951F4">
        <w:rPr>
          <w:sz w:val="26"/>
          <w:szCs w:val="26"/>
        </w:rPr>
        <w:t>,</w:t>
      </w:r>
      <w:r w:rsidRPr="00E951F4">
        <w:rPr>
          <w:sz w:val="26"/>
          <w:szCs w:val="26"/>
        </w:rPr>
        <w:t xml:space="preserve"> if sold into PJM would potentially make Duquesne Light subject to FERC’s proposed MOPR, the ALJ found this concern to be meritless.  </w:t>
      </w:r>
      <w:r w:rsidR="00201AD2" w:rsidRPr="00E951F4">
        <w:rPr>
          <w:sz w:val="26"/>
          <w:szCs w:val="26"/>
        </w:rPr>
        <w:t>The ALJ</w:t>
      </w:r>
      <w:r w:rsidRPr="00E951F4">
        <w:rPr>
          <w:sz w:val="26"/>
          <w:szCs w:val="26"/>
        </w:rPr>
        <w:t xml:space="preserve"> noted that the Company responded that it is not committed to acquiring capacity, and further that it </w:t>
      </w:r>
      <w:r w:rsidRPr="00E951F4">
        <w:rPr>
          <w:sz w:val="26"/>
          <w:szCs w:val="26"/>
        </w:rPr>
        <w:lastRenderedPageBreak/>
        <w:t xml:space="preserve">would not enter into </w:t>
      </w:r>
      <w:r w:rsidR="00A91495" w:rsidRPr="00E951F4">
        <w:rPr>
          <w:sz w:val="26"/>
          <w:szCs w:val="26"/>
        </w:rPr>
        <w:t>the</w:t>
      </w:r>
      <w:r w:rsidRPr="00E951F4">
        <w:rPr>
          <w:sz w:val="26"/>
          <w:szCs w:val="26"/>
        </w:rPr>
        <w:t xml:space="preserve"> </w:t>
      </w:r>
      <w:r w:rsidR="00A91495" w:rsidRPr="00E951F4">
        <w:rPr>
          <w:sz w:val="26"/>
          <w:szCs w:val="26"/>
        </w:rPr>
        <w:t>S</w:t>
      </w:r>
      <w:r w:rsidRPr="00E951F4">
        <w:rPr>
          <w:sz w:val="26"/>
          <w:szCs w:val="26"/>
        </w:rPr>
        <w:t xml:space="preserve">olar PPA, or acquire or sell capacity, if doing so would invoke such rule as ultimately adopted by FERC.  </w:t>
      </w:r>
      <w:r w:rsidR="00201AD2" w:rsidRPr="00E951F4">
        <w:rPr>
          <w:sz w:val="26"/>
          <w:szCs w:val="26"/>
        </w:rPr>
        <w:t xml:space="preserve">R.D. at 50 (citing </w:t>
      </w:r>
      <w:r w:rsidRPr="00E951F4">
        <w:rPr>
          <w:sz w:val="26"/>
          <w:szCs w:val="26"/>
        </w:rPr>
        <w:t>Duquesne Light St. 1-RJ at</w:t>
      </w:r>
      <w:r w:rsidR="00171FD8">
        <w:rPr>
          <w:sz w:val="26"/>
          <w:szCs w:val="26"/>
        </w:rPr>
        <w:t> </w:t>
      </w:r>
      <w:r w:rsidRPr="00E951F4">
        <w:rPr>
          <w:sz w:val="26"/>
          <w:szCs w:val="26"/>
        </w:rPr>
        <w:t>2</w:t>
      </w:r>
      <w:r w:rsidR="00201AD2" w:rsidRPr="00E951F4">
        <w:rPr>
          <w:sz w:val="26"/>
          <w:szCs w:val="26"/>
        </w:rPr>
        <w:t>;</w:t>
      </w:r>
      <w:r w:rsidRPr="00E951F4">
        <w:rPr>
          <w:sz w:val="26"/>
          <w:szCs w:val="26"/>
        </w:rPr>
        <w:t xml:space="preserve"> Duquesne Light R.B. at 12</w:t>
      </w:r>
      <w:r w:rsidR="00201AD2" w:rsidRPr="00E951F4">
        <w:rPr>
          <w:sz w:val="26"/>
          <w:szCs w:val="26"/>
        </w:rPr>
        <w:t>)</w:t>
      </w:r>
      <w:r w:rsidRPr="00E951F4">
        <w:rPr>
          <w:sz w:val="26"/>
          <w:szCs w:val="26"/>
        </w:rPr>
        <w:t>.</w:t>
      </w:r>
    </w:p>
    <w:p w14:paraId="5E88E856" w14:textId="77777777" w:rsidR="0023362C" w:rsidRPr="00E951F4" w:rsidRDefault="0023362C" w:rsidP="00E951F4">
      <w:pPr>
        <w:widowControl/>
        <w:kinsoku w:val="0"/>
        <w:overflowPunct w:val="0"/>
        <w:spacing w:line="360" w:lineRule="auto"/>
        <w:ind w:right="792"/>
        <w:jc w:val="both"/>
        <w:textAlignment w:val="baseline"/>
        <w:rPr>
          <w:sz w:val="26"/>
          <w:szCs w:val="26"/>
        </w:rPr>
      </w:pPr>
    </w:p>
    <w:p w14:paraId="45461291" w14:textId="5FE6B0A2" w:rsidR="0023362C" w:rsidRPr="00E951F4" w:rsidRDefault="0023362C" w:rsidP="00E951F4">
      <w:pPr>
        <w:widowControl/>
        <w:kinsoku w:val="0"/>
        <w:overflowPunct w:val="0"/>
        <w:spacing w:line="360" w:lineRule="auto"/>
        <w:ind w:firstLine="1440"/>
        <w:textAlignment w:val="baseline"/>
        <w:rPr>
          <w:sz w:val="26"/>
          <w:szCs w:val="26"/>
        </w:rPr>
      </w:pPr>
      <w:r w:rsidRPr="00E951F4">
        <w:rPr>
          <w:sz w:val="26"/>
          <w:szCs w:val="26"/>
        </w:rPr>
        <w:t xml:space="preserve">The ALJ also rejected the EGS Parties’ argument that the long-term contract could outlive the proposed and even subsequent default service plans, presenting the possibility that Duquesne Light could no longer be the default service provider and the costs of such a contract could become stranded or be used as an excuse why a new default service provider should not be approved.  </w:t>
      </w:r>
      <w:r w:rsidR="00201AD2" w:rsidRPr="00E951F4">
        <w:rPr>
          <w:sz w:val="26"/>
          <w:szCs w:val="26"/>
        </w:rPr>
        <w:t xml:space="preserve">R.D. at 50 (citing </w:t>
      </w:r>
      <w:r w:rsidRPr="00E951F4">
        <w:rPr>
          <w:sz w:val="26"/>
          <w:szCs w:val="26"/>
        </w:rPr>
        <w:t>EGS Parties M.B. at</w:t>
      </w:r>
      <w:r w:rsidR="00171FD8">
        <w:rPr>
          <w:sz w:val="26"/>
          <w:szCs w:val="26"/>
        </w:rPr>
        <w:t> </w:t>
      </w:r>
      <w:r w:rsidRPr="00E951F4">
        <w:rPr>
          <w:sz w:val="26"/>
          <w:szCs w:val="26"/>
        </w:rPr>
        <w:t>5</w:t>
      </w:r>
      <w:r w:rsidR="00201AD2" w:rsidRPr="00E951F4">
        <w:rPr>
          <w:sz w:val="26"/>
          <w:szCs w:val="26"/>
        </w:rPr>
        <w:t>).</w:t>
      </w:r>
      <w:r w:rsidRPr="00E951F4">
        <w:rPr>
          <w:sz w:val="26"/>
          <w:szCs w:val="26"/>
        </w:rPr>
        <w:t xml:space="preserve">  The ALJ found merit in the OCA’s procurement witness Dr. </w:t>
      </w:r>
      <w:r w:rsidR="00607B73" w:rsidRPr="00E951F4">
        <w:rPr>
          <w:sz w:val="26"/>
          <w:szCs w:val="26"/>
        </w:rPr>
        <w:t xml:space="preserve">Serhan </w:t>
      </w:r>
      <w:r w:rsidRPr="00E951F4">
        <w:rPr>
          <w:sz w:val="26"/>
          <w:szCs w:val="26"/>
        </w:rPr>
        <w:t xml:space="preserve">Ogur’s explanation that the contractual obligations could be transferred to a new default service provider if one were to be approved, and that Pennsylvania EDCs as default service providers routinely enter into power supply contracts (which are approved by the Commission) that extend beyond the end date of the default service plan period to mitigate price shock risk at the start of a new default service plan period. </w:t>
      </w:r>
      <w:r w:rsidR="00201AD2" w:rsidRPr="00E951F4">
        <w:rPr>
          <w:sz w:val="26"/>
          <w:szCs w:val="26"/>
        </w:rPr>
        <w:t xml:space="preserve"> R.D. at 50 (citing</w:t>
      </w:r>
      <w:r w:rsidRPr="00E951F4">
        <w:rPr>
          <w:sz w:val="26"/>
          <w:szCs w:val="26"/>
        </w:rPr>
        <w:t xml:space="preserve"> OCA St. 1-R at 8-9</w:t>
      </w:r>
      <w:r w:rsidR="00201AD2" w:rsidRPr="00E951F4">
        <w:rPr>
          <w:sz w:val="26"/>
          <w:szCs w:val="26"/>
        </w:rPr>
        <w:t>;</w:t>
      </w:r>
      <w:r w:rsidRPr="00E951F4">
        <w:rPr>
          <w:sz w:val="26"/>
          <w:szCs w:val="26"/>
        </w:rPr>
        <w:t xml:space="preserve"> Duquesne Light R.B. at 12-13</w:t>
      </w:r>
      <w:r w:rsidR="00201AD2" w:rsidRPr="00E951F4">
        <w:rPr>
          <w:sz w:val="26"/>
          <w:szCs w:val="26"/>
        </w:rPr>
        <w:t>)</w:t>
      </w:r>
      <w:r w:rsidRPr="00E951F4">
        <w:rPr>
          <w:sz w:val="26"/>
          <w:szCs w:val="26"/>
        </w:rPr>
        <w:t>.</w:t>
      </w:r>
    </w:p>
    <w:p w14:paraId="2C433106" w14:textId="77777777" w:rsidR="0023362C" w:rsidRPr="00E951F4" w:rsidRDefault="0023362C" w:rsidP="00E951F4">
      <w:pPr>
        <w:widowControl/>
        <w:kinsoku w:val="0"/>
        <w:overflowPunct w:val="0"/>
        <w:spacing w:line="360" w:lineRule="auto"/>
        <w:ind w:right="792"/>
        <w:jc w:val="both"/>
        <w:textAlignment w:val="baseline"/>
        <w:rPr>
          <w:sz w:val="26"/>
          <w:szCs w:val="26"/>
        </w:rPr>
      </w:pPr>
    </w:p>
    <w:p w14:paraId="28C15643" w14:textId="69488761"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sz w:val="26"/>
          <w:szCs w:val="26"/>
        </w:rPr>
        <w:t xml:space="preserve">The ALJ dismissed the EGS Parties’ contention that a </w:t>
      </w:r>
      <w:r w:rsidR="00601FEA" w:rsidRPr="00E951F4">
        <w:rPr>
          <w:sz w:val="26"/>
          <w:szCs w:val="26"/>
        </w:rPr>
        <w:t>seven</w:t>
      </w:r>
      <w:r w:rsidRPr="00E951F4">
        <w:rPr>
          <w:sz w:val="26"/>
          <w:szCs w:val="26"/>
        </w:rPr>
        <w:t xml:space="preserve"> MW solar contract could crowd out other solar contracts in the PJM market as without evidentiary support in the record.  </w:t>
      </w:r>
      <w:r w:rsidR="00601FEA" w:rsidRPr="00E951F4">
        <w:rPr>
          <w:sz w:val="26"/>
          <w:szCs w:val="26"/>
        </w:rPr>
        <w:t xml:space="preserve">R.D. at 5 (citing </w:t>
      </w:r>
      <w:r w:rsidRPr="00E951F4">
        <w:rPr>
          <w:sz w:val="26"/>
          <w:szCs w:val="26"/>
        </w:rPr>
        <w:t>EGS Parties M.B. at 6</w:t>
      </w:r>
      <w:r w:rsidR="00601FEA" w:rsidRPr="00E951F4">
        <w:rPr>
          <w:sz w:val="26"/>
          <w:szCs w:val="26"/>
        </w:rPr>
        <w:t>)</w:t>
      </w:r>
      <w:r w:rsidRPr="00E951F4">
        <w:rPr>
          <w:sz w:val="26"/>
          <w:szCs w:val="26"/>
        </w:rPr>
        <w:t xml:space="preserve">.  The ALJ emphasized evidence presented by </w:t>
      </w:r>
      <w:r w:rsidR="00601FEA" w:rsidRPr="00E951F4">
        <w:rPr>
          <w:sz w:val="26"/>
          <w:szCs w:val="26"/>
        </w:rPr>
        <w:t xml:space="preserve">the </w:t>
      </w:r>
      <w:r w:rsidRPr="00E951F4">
        <w:rPr>
          <w:sz w:val="26"/>
          <w:szCs w:val="26"/>
        </w:rPr>
        <w:t>OCA’s procurement witness</w:t>
      </w:r>
      <w:r w:rsidR="00601FEA" w:rsidRPr="00E951F4">
        <w:rPr>
          <w:sz w:val="26"/>
          <w:szCs w:val="26"/>
        </w:rPr>
        <w:t>,</w:t>
      </w:r>
      <w:r w:rsidRPr="00E951F4">
        <w:rPr>
          <w:sz w:val="26"/>
          <w:szCs w:val="26"/>
        </w:rPr>
        <w:t xml:space="preserve"> Dr. Ogur, that posited that</w:t>
      </w:r>
      <w:r w:rsidR="00601FEA" w:rsidRPr="00E951F4">
        <w:rPr>
          <w:sz w:val="26"/>
          <w:szCs w:val="26"/>
        </w:rPr>
        <w:t xml:space="preserve"> </w:t>
      </w:r>
      <w:r w:rsidRPr="00E951F4">
        <w:rPr>
          <w:sz w:val="26"/>
          <w:szCs w:val="26"/>
        </w:rPr>
        <w:t xml:space="preserve">such a result is highly unlikely given the over 269 solar projects in the PJM interconnection queue, representing more than 9,000 MW.  </w:t>
      </w:r>
      <w:r w:rsidR="00601FEA" w:rsidRPr="00E951F4">
        <w:rPr>
          <w:sz w:val="26"/>
          <w:szCs w:val="26"/>
        </w:rPr>
        <w:t xml:space="preserve">R.D. at 50 (citing </w:t>
      </w:r>
      <w:r w:rsidRPr="00E951F4">
        <w:rPr>
          <w:sz w:val="26"/>
          <w:szCs w:val="26"/>
        </w:rPr>
        <w:t>OCA St. 1-R at 9</w:t>
      </w:r>
      <w:r w:rsidR="00601FEA" w:rsidRPr="00E951F4">
        <w:rPr>
          <w:sz w:val="26"/>
          <w:szCs w:val="26"/>
        </w:rPr>
        <w:t>).</w:t>
      </w:r>
      <w:r w:rsidRPr="00E951F4">
        <w:rPr>
          <w:sz w:val="26"/>
          <w:szCs w:val="26"/>
        </w:rPr>
        <w:t xml:space="preserve">  The ALJ also found persuasive the fact that the EGS Parties’ witness Mr. Kallaher admitted in discovery that he was not aware of any specific potential solar projects that might be displaced by the Company’s proposed solar PPA.  </w:t>
      </w:r>
      <w:r w:rsidR="00601FEA" w:rsidRPr="00E951F4">
        <w:rPr>
          <w:sz w:val="26"/>
          <w:szCs w:val="26"/>
        </w:rPr>
        <w:t xml:space="preserve">R.D. at 50 (citing </w:t>
      </w:r>
      <w:r w:rsidRPr="00E951F4">
        <w:rPr>
          <w:sz w:val="26"/>
          <w:szCs w:val="26"/>
        </w:rPr>
        <w:t>Duquesne Light St.</w:t>
      </w:r>
      <w:r w:rsidR="00171FD8">
        <w:rPr>
          <w:sz w:val="26"/>
          <w:szCs w:val="26"/>
        </w:rPr>
        <w:t> </w:t>
      </w:r>
      <w:r w:rsidRPr="00E951F4">
        <w:rPr>
          <w:sz w:val="26"/>
          <w:szCs w:val="26"/>
        </w:rPr>
        <w:t>1-R at 3-4</w:t>
      </w:r>
      <w:r w:rsidR="00601FEA" w:rsidRPr="00E951F4">
        <w:rPr>
          <w:sz w:val="26"/>
          <w:szCs w:val="26"/>
        </w:rPr>
        <w:t>;</w:t>
      </w:r>
      <w:r w:rsidRPr="00E951F4">
        <w:rPr>
          <w:sz w:val="26"/>
          <w:szCs w:val="26"/>
        </w:rPr>
        <w:t xml:space="preserve"> Duquesne Light R.B. at 13</w:t>
      </w:r>
      <w:r w:rsidR="00601FEA" w:rsidRPr="00E951F4">
        <w:rPr>
          <w:sz w:val="26"/>
          <w:szCs w:val="26"/>
        </w:rPr>
        <w:t>)</w:t>
      </w:r>
      <w:r w:rsidRPr="00E951F4">
        <w:rPr>
          <w:sz w:val="26"/>
          <w:szCs w:val="26"/>
        </w:rPr>
        <w:t>.</w:t>
      </w:r>
      <w:r w:rsidR="00A66BE0" w:rsidRPr="00E951F4">
        <w:rPr>
          <w:sz w:val="26"/>
          <w:szCs w:val="26"/>
        </w:rPr>
        <w:t xml:space="preserve">  </w:t>
      </w:r>
      <w:r w:rsidRPr="00E951F4">
        <w:rPr>
          <w:sz w:val="26"/>
          <w:szCs w:val="26"/>
        </w:rPr>
        <w:t xml:space="preserve">Finally, the ALJ determined that the EGS Parties’ argument that the solar PPA is a direct assault on efforts to enact Community </w:t>
      </w:r>
      <w:r w:rsidRPr="00E951F4">
        <w:rPr>
          <w:sz w:val="26"/>
          <w:szCs w:val="26"/>
        </w:rPr>
        <w:lastRenderedPageBreak/>
        <w:t xml:space="preserve">Solar initiatives was </w:t>
      </w:r>
      <w:r w:rsidRPr="00E951F4">
        <w:rPr>
          <w:rFonts w:eastAsiaTheme="minorEastAsia"/>
          <w:sz w:val="26"/>
          <w:szCs w:val="26"/>
        </w:rPr>
        <w:t>not supported by any evidence from the EGS Parties.</w:t>
      </w:r>
      <w:r w:rsidRPr="00E951F4">
        <w:rPr>
          <w:sz w:val="26"/>
          <w:szCs w:val="26"/>
        </w:rPr>
        <w:t xml:space="preserve">  </w:t>
      </w:r>
      <w:r w:rsidR="00601FEA" w:rsidRPr="00E951F4">
        <w:rPr>
          <w:sz w:val="26"/>
          <w:szCs w:val="26"/>
        </w:rPr>
        <w:t xml:space="preserve">R.D. at 51 (citing </w:t>
      </w:r>
      <w:r w:rsidRPr="00E951F4">
        <w:rPr>
          <w:sz w:val="26"/>
          <w:szCs w:val="26"/>
        </w:rPr>
        <w:t>EGS Parties M.B. at 6</w:t>
      </w:r>
      <w:r w:rsidR="00601FEA" w:rsidRPr="00E951F4">
        <w:rPr>
          <w:sz w:val="26"/>
          <w:szCs w:val="26"/>
        </w:rPr>
        <w:t>)</w:t>
      </w:r>
      <w:r w:rsidRPr="00E951F4">
        <w:rPr>
          <w:sz w:val="26"/>
          <w:szCs w:val="26"/>
        </w:rPr>
        <w:t>.</w:t>
      </w:r>
      <w:r w:rsidRPr="00E951F4">
        <w:rPr>
          <w:rFonts w:eastAsiaTheme="minorEastAsia"/>
          <w:sz w:val="26"/>
          <w:szCs w:val="26"/>
        </w:rPr>
        <w:t xml:space="preserve"> </w:t>
      </w:r>
    </w:p>
    <w:p w14:paraId="1C17209C" w14:textId="77777777" w:rsidR="0023362C" w:rsidRPr="00E951F4" w:rsidRDefault="0023362C" w:rsidP="00E951F4">
      <w:pPr>
        <w:widowControl/>
        <w:kinsoku w:val="0"/>
        <w:overflowPunct w:val="0"/>
        <w:spacing w:line="360" w:lineRule="auto"/>
        <w:ind w:right="216"/>
        <w:textAlignment w:val="baseline"/>
        <w:rPr>
          <w:rFonts w:eastAsiaTheme="minorEastAsia"/>
          <w:sz w:val="26"/>
          <w:szCs w:val="26"/>
        </w:rPr>
      </w:pPr>
    </w:p>
    <w:p w14:paraId="3E4AB319" w14:textId="7898CA27" w:rsidR="0023362C" w:rsidRPr="00E951F4" w:rsidRDefault="0023362C" w:rsidP="00E951F4">
      <w:pPr>
        <w:widowControl/>
        <w:kinsoku w:val="0"/>
        <w:overflowPunct w:val="0"/>
        <w:spacing w:line="360" w:lineRule="auto"/>
        <w:ind w:firstLine="1440"/>
        <w:textAlignment w:val="baseline"/>
        <w:rPr>
          <w:sz w:val="26"/>
          <w:szCs w:val="26"/>
        </w:rPr>
      </w:pPr>
      <w:r w:rsidRPr="00E951F4">
        <w:rPr>
          <w:rFonts w:eastAsiaTheme="minorEastAsia"/>
          <w:sz w:val="26"/>
          <w:szCs w:val="26"/>
        </w:rPr>
        <w:t xml:space="preserve">To summarize, the ALJ determined that Duquesne Light had provided adequate explanations of how its DSP meets the prudent mix standard in the Code.  This evidence explains how the mix of contracts, which also includes products and terms previously employed and approved by the Commission, is designed to ensure least cost over time, taking into account the benefits of price stability and including prudent steps to obtain least cost generation supplies.  The ALJ also found that Duquesne Light supplied an extensive quantitative analysis regarding price stability benefits of the supply products in the plan.  The Company also explained how it considered Commission guidance on the prudent mix to be employed.  Except with respect to MAREC’s and the EGS Parties’ specific concerns related to the solar PPA, no party objected to the prudency of </w:t>
      </w:r>
      <w:r w:rsidR="008B49EE" w:rsidRPr="00E951F4">
        <w:rPr>
          <w:rFonts w:eastAsiaTheme="minorEastAsia"/>
          <w:sz w:val="26"/>
          <w:szCs w:val="26"/>
        </w:rPr>
        <w:t xml:space="preserve">the </w:t>
      </w:r>
      <w:r w:rsidRPr="00E951F4">
        <w:rPr>
          <w:rFonts w:eastAsiaTheme="minorEastAsia"/>
          <w:sz w:val="26"/>
          <w:szCs w:val="26"/>
        </w:rPr>
        <w:t xml:space="preserve">Company’s proposed contract mix, which is accordingly memorialized in the Partial Settlement.  </w:t>
      </w:r>
      <w:r w:rsidR="00F778B1" w:rsidRPr="00E951F4">
        <w:rPr>
          <w:rFonts w:eastAsiaTheme="minorEastAsia"/>
          <w:sz w:val="26"/>
          <w:szCs w:val="26"/>
        </w:rPr>
        <w:t xml:space="preserve">R.D. at 51 (citing </w:t>
      </w:r>
      <w:r w:rsidRPr="00E951F4">
        <w:rPr>
          <w:rFonts w:eastAsiaTheme="minorEastAsia"/>
          <w:sz w:val="26"/>
          <w:szCs w:val="26"/>
        </w:rPr>
        <w:t>Duquesne Light St. 3 at 10-13</w:t>
      </w:r>
      <w:r w:rsidR="00E815E3" w:rsidRPr="00E951F4">
        <w:rPr>
          <w:rFonts w:eastAsiaTheme="minorEastAsia"/>
          <w:sz w:val="26"/>
          <w:szCs w:val="26"/>
        </w:rPr>
        <w:t>;</w:t>
      </w:r>
      <w:r w:rsidRPr="00E951F4">
        <w:rPr>
          <w:rFonts w:eastAsiaTheme="minorEastAsia"/>
          <w:sz w:val="26"/>
          <w:szCs w:val="26"/>
        </w:rPr>
        <w:t xml:space="preserve"> Duquesne Light St. 3-R at</w:t>
      </w:r>
      <w:r w:rsidR="00171FD8">
        <w:rPr>
          <w:rFonts w:eastAsiaTheme="minorEastAsia"/>
          <w:sz w:val="26"/>
          <w:szCs w:val="26"/>
        </w:rPr>
        <w:t> </w:t>
      </w:r>
      <w:r w:rsidRPr="00E951F4">
        <w:rPr>
          <w:rFonts w:eastAsiaTheme="minorEastAsia"/>
          <w:sz w:val="26"/>
          <w:szCs w:val="26"/>
        </w:rPr>
        <w:t>30-31</w:t>
      </w:r>
      <w:r w:rsidR="00E815E3" w:rsidRPr="00E951F4">
        <w:rPr>
          <w:rFonts w:eastAsiaTheme="minorEastAsia"/>
          <w:sz w:val="26"/>
          <w:szCs w:val="26"/>
        </w:rPr>
        <w:t>;</w:t>
      </w:r>
      <w:r w:rsidRPr="00E951F4">
        <w:rPr>
          <w:sz w:val="26"/>
          <w:szCs w:val="26"/>
        </w:rPr>
        <w:t xml:space="preserve"> Duquesne Light R.B. at 7-8</w:t>
      </w:r>
      <w:r w:rsidR="00F778B1" w:rsidRPr="00E951F4">
        <w:rPr>
          <w:sz w:val="26"/>
          <w:szCs w:val="26"/>
        </w:rPr>
        <w:t>)</w:t>
      </w:r>
      <w:r w:rsidRPr="00E951F4">
        <w:rPr>
          <w:sz w:val="26"/>
          <w:szCs w:val="26"/>
        </w:rPr>
        <w:t xml:space="preserve">.  The </w:t>
      </w:r>
      <w:r w:rsidR="00E815E3" w:rsidRPr="00E951F4">
        <w:rPr>
          <w:sz w:val="26"/>
          <w:szCs w:val="26"/>
        </w:rPr>
        <w:t xml:space="preserve">ALJ concluded that the </w:t>
      </w:r>
      <w:r w:rsidRPr="00E951F4">
        <w:rPr>
          <w:sz w:val="26"/>
          <w:szCs w:val="26"/>
        </w:rPr>
        <w:t>arguments of MAREC and the EGS Parties opposing the Solar PPA as part of the prudent mix in this DSP IX proceeding were not persuasive.  R.D. at 51.</w:t>
      </w:r>
    </w:p>
    <w:p w14:paraId="786846A7" w14:textId="77777777" w:rsidR="00E815E3" w:rsidRPr="00E951F4" w:rsidRDefault="00E815E3" w:rsidP="00E951F4">
      <w:pPr>
        <w:widowControl/>
        <w:kinsoku w:val="0"/>
        <w:overflowPunct w:val="0"/>
        <w:spacing w:line="360" w:lineRule="auto"/>
        <w:ind w:firstLine="1440"/>
        <w:textAlignment w:val="baseline"/>
        <w:rPr>
          <w:sz w:val="26"/>
          <w:szCs w:val="26"/>
        </w:rPr>
      </w:pPr>
    </w:p>
    <w:p w14:paraId="03FC423F" w14:textId="4CDF4DBC" w:rsidR="0023362C" w:rsidRPr="00E951F4" w:rsidRDefault="0023362C" w:rsidP="00E951F4">
      <w:pPr>
        <w:pStyle w:val="Heading3"/>
      </w:pPr>
      <w:bookmarkStart w:id="100" w:name="_Toc59620152"/>
      <w:bookmarkStart w:id="101" w:name="_Toc60912048"/>
      <w:r w:rsidRPr="00E951F4">
        <w:t xml:space="preserve">Exceptions </w:t>
      </w:r>
      <w:r w:rsidR="008663E2" w:rsidRPr="00E951F4">
        <w:t>and Replies</w:t>
      </w:r>
      <w:bookmarkEnd w:id="100"/>
      <w:bookmarkEnd w:id="101"/>
    </w:p>
    <w:p w14:paraId="7F860D80" w14:textId="77777777" w:rsidR="0023362C" w:rsidRPr="00E951F4" w:rsidRDefault="0023362C" w:rsidP="00E951F4">
      <w:pPr>
        <w:keepNext/>
        <w:widowControl/>
        <w:kinsoku w:val="0"/>
        <w:overflowPunct w:val="0"/>
        <w:spacing w:line="360" w:lineRule="auto"/>
        <w:ind w:right="792"/>
        <w:jc w:val="both"/>
        <w:textAlignment w:val="baseline"/>
        <w:rPr>
          <w:sz w:val="26"/>
          <w:szCs w:val="26"/>
        </w:rPr>
      </w:pPr>
    </w:p>
    <w:p w14:paraId="54C0E48E" w14:textId="3CF92296" w:rsidR="0023362C" w:rsidRPr="00E951F4" w:rsidRDefault="0023362C" w:rsidP="00E951F4">
      <w:pPr>
        <w:pStyle w:val="Heading4"/>
        <w:numPr>
          <w:ilvl w:val="0"/>
          <w:numId w:val="46"/>
        </w:numPr>
        <w:ind w:firstLine="0"/>
      </w:pPr>
      <w:bookmarkStart w:id="102" w:name="_Toc59620153"/>
      <w:r w:rsidRPr="00E951F4">
        <w:t>EGS Parties Exception</w:t>
      </w:r>
      <w:r w:rsidR="008663E2" w:rsidRPr="00E951F4">
        <w:t xml:space="preserve"> No. 3 and Replies</w:t>
      </w:r>
      <w:bookmarkEnd w:id="102"/>
    </w:p>
    <w:p w14:paraId="3CEBA551" w14:textId="77777777" w:rsidR="003D73A7" w:rsidRPr="00E951F4" w:rsidRDefault="003D73A7" w:rsidP="00E951F4">
      <w:pPr>
        <w:keepNext/>
        <w:widowControl/>
        <w:kinsoku w:val="0"/>
        <w:overflowPunct w:val="0"/>
        <w:spacing w:line="360" w:lineRule="auto"/>
        <w:ind w:firstLine="1440"/>
        <w:textAlignment w:val="baseline"/>
        <w:rPr>
          <w:sz w:val="26"/>
          <w:szCs w:val="26"/>
        </w:rPr>
      </w:pPr>
    </w:p>
    <w:p w14:paraId="070CFB93" w14:textId="14136BB3" w:rsidR="0023362C" w:rsidRPr="00E951F4" w:rsidRDefault="008663E2" w:rsidP="00E951F4">
      <w:pPr>
        <w:keepNext/>
        <w:widowControl/>
        <w:kinsoku w:val="0"/>
        <w:overflowPunct w:val="0"/>
        <w:spacing w:line="360" w:lineRule="auto"/>
        <w:ind w:firstLine="1440"/>
        <w:textAlignment w:val="baseline"/>
        <w:rPr>
          <w:sz w:val="26"/>
          <w:szCs w:val="26"/>
        </w:rPr>
      </w:pPr>
      <w:r w:rsidRPr="00E951F4">
        <w:rPr>
          <w:sz w:val="26"/>
          <w:szCs w:val="26"/>
        </w:rPr>
        <w:t>In their Exception No. 3, t</w:t>
      </w:r>
      <w:r w:rsidR="0023362C" w:rsidRPr="00E951F4">
        <w:rPr>
          <w:sz w:val="26"/>
          <w:szCs w:val="26"/>
        </w:rPr>
        <w:t xml:space="preserve">he EGS Parties plainly focus their objections on issues that would, in their view, impact them as competitors in the marketplace, would harm competition or alternatively, would create structures that would make competition more challenging in the future.  The EGS Parties identify Duquesne Light as their primary competitor and cast the Company as becoming a promoter of the solar energy market through the </w:t>
      </w:r>
      <w:r w:rsidR="00A37773" w:rsidRPr="00E951F4">
        <w:rPr>
          <w:sz w:val="26"/>
          <w:szCs w:val="26"/>
        </w:rPr>
        <w:t>S</w:t>
      </w:r>
      <w:r w:rsidR="0023362C" w:rsidRPr="00E951F4">
        <w:rPr>
          <w:sz w:val="26"/>
          <w:szCs w:val="26"/>
        </w:rPr>
        <w:t xml:space="preserve">olar PPA proposal.  EGS Parties Exc. at 1.  The EGS Parties claim </w:t>
      </w:r>
      <w:r w:rsidR="0023362C" w:rsidRPr="00E951F4">
        <w:rPr>
          <w:sz w:val="26"/>
          <w:szCs w:val="26"/>
        </w:rPr>
        <w:lastRenderedPageBreak/>
        <w:t xml:space="preserve">that the Recommended Decision errs by adopting the positions and reasoning of the Company in proposing the long-term </w:t>
      </w:r>
      <w:r w:rsidR="00A37773" w:rsidRPr="00E951F4">
        <w:rPr>
          <w:sz w:val="26"/>
          <w:szCs w:val="26"/>
        </w:rPr>
        <w:t>S</w:t>
      </w:r>
      <w:r w:rsidR="0023362C" w:rsidRPr="00E951F4">
        <w:rPr>
          <w:sz w:val="26"/>
          <w:szCs w:val="26"/>
        </w:rPr>
        <w:t>olar PPA, without fairly considering the arguments of the opposing parties.  EGS Parties Exc. at 4.  The EGS Parties point to their testimony detailing alleged harm that would result from the approval of the proposed solar PPA.  EGS Parties St. 1 at 22-24</w:t>
      </w:r>
      <w:r w:rsidR="00670E33" w:rsidRPr="00E951F4">
        <w:rPr>
          <w:sz w:val="26"/>
          <w:szCs w:val="26"/>
        </w:rPr>
        <w:t>;</w:t>
      </w:r>
      <w:r w:rsidR="0023362C" w:rsidRPr="00E951F4">
        <w:rPr>
          <w:sz w:val="26"/>
          <w:szCs w:val="26"/>
        </w:rPr>
        <w:t xml:space="preserve"> EGS Parties Exc. at 4.  The EGS Parties assert that they have serious concerns that a “utility ratepayer funded, long-term contract supported” solar project will crowd out competitive projects in the marketplace and put suppliers at a disadvantage for capital and eventually in the market for such projects. </w:t>
      </w:r>
      <w:r w:rsidR="00670E33" w:rsidRPr="00E951F4">
        <w:rPr>
          <w:sz w:val="26"/>
          <w:szCs w:val="26"/>
        </w:rPr>
        <w:t xml:space="preserve"> </w:t>
      </w:r>
      <w:r w:rsidR="0023362C" w:rsidRPr="00E951F4">
        <w:rPr>
          <w:sz w:val="26"/>
          <w:szCs w:val="26"/>
        </w:rPr>
        <w:t>The EGS Parties also contend that ratepayer funding creates a lower risk profile for investors that drives such decisions.  In addition, this type of project also is a direct assault on current efforts to enact Community Solar initiatives that provide ownership opportunities in solar projects for even very small investors.</w:t>
      </w:r>
      <w:r w:rsidR="00407C25" w:rsidRPr="00E951F4">
        <w:rPr>
          <w:sz w:val="26"/>
          <w:szCs w:val="26"/>
        </w:rPr>
        <w:t xml:space="preserve"> </w:t>
      </w:r>
      <w:r w:rsidR="0023362C" w:rsidRPr="00E951F4">
        <w:rPr>
          <w:sz w:val="26"/>
          <w:szCs w:val="26"/>
        </w:rPr>
        <w:t xml:space="preserve"> </w:t>
      </w:r>
      <w:r w:rsidR="0023362C" w:rsidRPr="00E951F4">
        <w:rPr>
          <w:i/>
          <w:iCs/>
          <w:sz w:val="26"/>
          <w:szCs w:val="26"/>
        </w:rPr>
        <w:t>Id.</w:t>
      </w:r>
      <w:r w:rsidR="004C70F9" w:rsidRPr="00E951F4">
        <w:rPr>
          <w:i/>
          <w:iCs/>
          <w:sz w:val="26"/>
          <w:szCs w:val="26"/>
        </w:rPr>
        <w:t xml:space="preserve"> </w:t>
      </w:r>
      <w:r w:rsidR="0023362C" w:rsidRPr="00E951F4">
        <w:rPr>
          <w:i/>
          <w:iCs/>
          <w:sz w:val="26"/>
          <w:szCs w:val="26"/>
        </w:rPr>
        <w:t xml:space="preserve"> </w:t>
      </w:r>
      <w:r w:rsidR="0023362C" w:rsidRPr="00E951F4">
        <w:rPr>
          <w:sz w:val="26"/>
          <w:szCs w:val="26"/>
        </w:rPr>
        <w:t xml:space="preserve">The EGS Parties repeat their claim that Community Solar democratizes energy production, while Duquesne’s long-term solar PPA proposal will provide fodder for those who say we do not need that; the utility already provides it.  In short, the EGS Parties claim that there is no legal basis on which to approve the proposed </w:t>
      </w:r>
      <w:r w:rsidR="00F0455F" w:rsidRPr="00E951F4">
        <w:rPr>
          <w:sz w:val="26"/>
          <w:szCs w:val="26"/>
        </w:rPr>
        <w:t>S</w:t>
      </w:r>
      <w:r w:rsidR="0023362C" w:rsidRPr="00E951F4">
        <w:rPr>
          <w:sz w:val="26"/>
          <w:szCs w:val="26"/>
        </w:rPr>
        <w:t>olar PPA Project, and there are multiple policy reasons to reject it.  EGS Parties St. 1 at 22-25</w:t>
      </w:r>
      <w:r w:rsidR="007242F8" w:rsidRPr="00E951F4">
        <w:rPr>
          <w:sz w:val="26"/>
          <w:szCs w:val="26"/>
        </w:rPr>
        <w:t>;</w:t>
      </w:r>
      <w:r w:rsidR="0023362C" w:rsidRPr="00E951F4">
        <w:rPr>
          <w:sz w:val="26"/>
          <w:szCs w:val="26"/>
        </w:rPr>
        <w:t xml:space="preserve"> EGS Parties Exc. at 4.</w:t>
      </w:r>
    </w:p>
    <w:p w14:paraId="481772EA" w14:textId="77777777" w:rsidR="001B40DD" w:rsidRPr="00E951F4" w:rsidRDefault="001B40DD" w:rsidP="00E951F4">
      <w:pPr>
        <w:widowControl/>
        <w:kinsoku w:val="0"/>
        <w:overflowPunct w:val="0"/>
        <w:spacing w:line="360" w:lineRule="auto"/>
        <w:ind w:firstLine="1440"/>
        <w:textAlignment w:val="baseline"/>
        <w:rPr>
          <w:sz w:val="26"/>
          <w:szCs w:val="26"/>
        </w:rPr>
      </w:pPr>
    </w:p>
    <w:p w14:paraId="0013A37F" w14:textId="090C0475" w:rsidR="0023362C" w:rsidRPr="00E951F4" w:rsidRDefault="0023362C" w:rsidP="00E951F4">
      <w:pPr>
        <w:widowControl/>
        <w:kinsoku w:val="0"/>
        <w:overflowPunct w:val="0"/>
        <w:spacing w:line="360" w:lineRule="auto"/>
        <w:ind w:firstLine="1440"/>
        <w:textAlignment w:val="baseline"/>
        <w:rPr>
          <w:sz w:val="26"/>
          <w:szCs w:val="26"/>
        </w:rPr>
      </w:pPr>
      <w:r w:rsidRPr="00E951F4">
        <w:rPr>
          <w:sz w:val="26"/>
          <w:szCs w:val="26"/>
        </w:rPr>
        <w:t xml:space="preserve">The EGS Parties contend that, perhaps the most serious concern is that the solar PPA would put Duquesne Light into the business of buying and selling electricity – on behalf of – default service customers.  In particular, the plan to sell the energy into the wholesale market as a means of “offsetting” default service costs, goes well beyond what is authorized in Section 2807(e)(3.1), </w:t>
      </w:r>
      <w:r w:rsidRPr="00E951F4">
        <w:rPr>
          <w:i/>
          <w:iCs/>
          <w:sz w:val="26"/>
          <w:szCs w:val="26"/>
        </w:rPr>
        <w:t>et seq</w:t>
      </w:r>
      <w:r w:rsidRPr="00E951F4">
        <w:rPr>
          <w:sz w:val="26"/>
          <w:szCs w:val="26"/>
        </w:rPr>
        <w:t xml:space="preserve">.  As discussed by </w:t>
      </w:r>
      <w:r w:rsidR="00F00A1C" w:rsidRPr="00E951F4">
        <w:rPr>
          <w:sz w:val="26"/>
          <w:szCs w:val="26"/>
        </w:rPr>
        <w:t xml:space="preserve">the </w:t>
      </w:r>
      <w:r w:rsidRPr="00E951F4">
        <w:rPr>
          <w:sz w:val="26"/>
          <w:szCs w:val="26"/>
        </w:rPr>
        <w:t>EGS Parties</w:t>
      </w:r>
      <w:r w:rsidR="00F00A1C" w:rsidRPr="00E951F4">
        <w:rPr>
          <w:sz w:val="26"/>
          <w:szCs w:val="26"/>
        </w:rPr>
        <w:t>’</w:t>
      </w:r>
      <w:r w:rsidRPr="00E951F4">
        <w:rPr>
          <w:sz w:val="26"/>
          <w:szCs w:val="26"/>
        </w:rPr>
        <w:t xml:space="preserve"> witness Kallaher, if Duquesne Light wanted to invest shareholder money into adventures in solar energy production and procurement, and to sell AECs, and even energy, apart from the default service procurement, that could be permitted. </w:t>
      </w:r>
      <w:r w:rsidR="0095332C" w:rsidRPr="00E951F4">
        <w:rPr>
          <w:sz w:val="26"/>
          <w:szCs w:val="26"/>
        </w:rPr>
        <w:t xml:space="preserve"> </w:t>
      </w:r>
      <w:r w:rsidRPr="00E951F4">
        <w:rPr>
          <w:sz w:val="26"/>
          <w:szCs w:val="26"/>
        </w:rPr>
        <w:t>EGS Parties St. 1 at 24-25, 66 Pa.</w:t>
      </w:r>
      <w:r w:rsidR="0095332C" w:rsidRPr="00E951F4">
        <w:rPr>
          <w:sz w:val="26"/>
          <w:szCs w:val="26"/>
        </w:rPr>
        <w:t xml:space="preserve"> </w:t>
      </w:r>
      <w:r w:rsidRPr="00E951F4">
        <w:rPr>
          <w:sz w:val="26"/>
          <w:szCs w:val="26"/>
        </w:rPr>
        <w:t xml:space="preserve">C.S. § 2807(e)(3.5).  However, the EGS Parties contend that there is nothing in the Code that would allow a default service provider to engage in a purchase and subsequent sale into the wholesale electricity market, at unknown terms and conditions, where the </w:t>
      </w:r>
      <w:r w:rsidRPr="00E951F4">
        <w:rPr>
          <w:sz w:val="26"/>
          <w:szCs w:val="26"/>
        </w:rPr>
        <w:lastRenderedPageBreak/>
        <w:t>ratepayers are ultimately on the hook for any losses.  66 Pa.</w:t>
      </w:r>
      <w:r w:rsidR="002D6D56" w:rsidRPr="00E951F4">
        <w:rPr>
          <w:sz w:val="26"/>
          <w:szCs w:val="26"/>
        </w:rPr>
        <w:t xml:space="preserve"> </w:t>
      </w:r>
      <w:r w:rsidRPr="00E951F4">
        <w:rPr>
          <w:sz w:val="26"/>
          <w:szCs w:val="26"/>
        </w:rPr>
        <w:t xml:space="preserve">C.S. § 2801, </w:t>
      </w:r>
      <w:r w:rsidRPr="00E951F4">
        <w:rPr>
          <w:i/>
          <w:iCs/>
          <w:sz w:val="26"/>
          <w:szCs w:val="26"/>
        </w:rPr>
        <w:t>et seq</w:t>
      </w:r>
      <w:r w:rsidRPr="00E951F4">
        <w:rPr>
          <w:sz w:val="26"/>
          <w:szCs w:val="26"/>
        </w:rPr>
        <w:t>.  The EGS Parties claim that the Recommended Decision glossed over the requirement that such a contract will be “least cost over time” when Duquesne Light does not even have a contract.  EGS Parties St. 1 at 24-25</w:t>
      </w:r>
      <w:r w:rsidR="002D6D56" w:rsidRPr="00E951F4">
        <w:rPr>
          <w:sz w:val="26"/>
          <w:szCs w:val="26"/>
        </w:rPr>
        <w:t>;</w:t>
      </w:r>
      <w:r w:rsidRPr="00E951F4">
        <w:rPr>
          <w:sz w:val="26"/>
          <w:szCs w:val="26"/>
        </w:rPr>
        <w:t xml:space="preserve"> EGS Parties Exc. at 5.</w:t>
      </w:r>
    </w:p>
    <w:p w14:paraId="0C73DF5C" w14:textId="77777777" w:rsidR="0023362C" w:rsidRPr="00E951F4" w:rsidRDefault="0023362C" w:rsidP="00E951F4">
      <w:pPr>
        <w:widowControl/>
        <w:kinsoku w:val="0"/>
        <w:overflowPunct w:val="0"/>
        <w:spacing w:line="360" w:lineRule="auto"/>
        <w:ind w:right="792"/>
        <w:jc w:val="both"/>
        <w:textAlignment w:val="baseline"/>
        <w:rPr>
          <w:sz w:val="26"/>
          <w:szCs w:val="26"/>
        </w:rPr>
      </w:pPr>
    </w:p>
    <w:p w14:paraId="544C83F2" w14:textId="006AD547"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The EGS Parties submit that, if Duquesne Light desires to purchase SAECs via a long-term contract to satisfy its AEP needs, that is clearly allowed.  But putting its customers at risk for its purchase and re-sale of energy “on their behalf” over that same long period should not be permitted.  EGS Parties Exc. at 5.</w:t>
      </w:r>
    </w:p>
    <w:p w14:paraId="1D84BAE5" w14:textId="77777777" w:rsidR="004E04E5" w:rsidRPr="00E951F4" w:rsidRDefault="004E04E5" w:rsidP="00E951F4">
      <w:pPr>
        <w:widowControl/>
        <w:kinsoku w:val="0"/>
        <w:overflowPunct w:val="0"/>
        <w:spacing w:line="360" w:lineRule="auto"/>
        <w:ind w:firstLine="1440"/>
        <w:textAlignment w:val="baseline"/>
        <w:rPr>
          <w:rFonts w:eastAsiaTheme="minorEastAsia"/>
          <w:sz w:val="26"/>
          <w:szCs w:val="26"/>
        </w:rPr>
      </w:pPr>
    </w:p>
    <w:p w14:paraId="2B8A5A59" w14:textId="1BA1CB93" w:rsidR="008663E2" w:rsidRPr="00E951F4" w:rsidRDefault="008663E2" w:rsidP="00A13CAC">
      <w:pPr>
        <w:keepNext/>
        <w:widowControl/>
        <w:kinsoku w:val="0"/>
        <w:overflowPunct w:val="0"/>
        <w:spacing w:line="360" w:lineRule="auto"/>
        <w:ind w:left="1440"/>
        <w:textAlignment w:val="baseline"/>
        <w:rPr>
          <w:rFonts w:eastAsiaTheme="minorEastAsia"/>
          <w:b/>
          <w:bCs/>
          <w:sz w:val="26"/>
          <w:szCs w:val="26"/>
        </w:rPr>
      </w:pPr>
      <w:r w:rsidRPr="00E951F4">
        <w:rPr>
          <w:rFonts w:eastAsiaTheme="minorEastAsia"/>
          <w:b/>
          <w:bCs/>
          <w:sz w:val="26"/>
          <w:szCs w:val="26"/>
        </w:rPr>
        <w:t>Duquesne Light Replies</w:t>
      </w:r>
    </w:p>
    <w:p w14:paraId="290B9980" w14:textId="77777777" w:rsidR="008663E2" w:rsidRPr="00E951F4" w:rsidRDefault="008663E2" w:rsidP="00E951F4">
      <w:pPr>
        <w:keepNext/>
        <w:widowControl/>
        <w:kinsoku w:val="0"/>
        <w:overflowPunct w:val="0"/>
        <w:spacing w:line="360" w:lineRule="auto"/>
        <w:ind w:firstLine="1440"/>
        <w:textAlignment w:val="baseline"/>
        <w:rPr>
          <w:rFonts w:eastAsiaTheme="minorEastAsia"/>
          <w:sz w:val="26"/>
          <w:szCs w:val="26"/>
        </w:rPr>
      </w:pPr>
    </w:p>
    <w:p w14:paraId="135C6482" w14:textId="77777777" w:rsidR="008663E2" w:rsidRPr="00E951F4" w:rsidRDefault="008663E2" w:rsidP="00E951F4">
      <w:pPr>
        <w:keepNext/>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In response to the EGS Parties’ Exceptions, Duquesne Light notes that the EGS Parties’ basic contention is that a solar PPA will somehow interfere with products the EGS Parties offer to retail customers.  EGS Parties Exceptions at 4; Duquesne Light R. Exc. at 4.  However, as the ALJ recognized, Duquesne Light would be procuring some of its solar requirements for default service customers through a long-term contract instead of as it does currently from wholesale suppliers who provide all requirements, including solar requirements.  Duquesne Light R. Exc. at 4.</w:t>
      </w:r>
    </w:p>
    <w:p w14:paraId="5A888121"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p>
    <w:p w14:paraId="41CEA7C7" w14:textId="59341245"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The Company submits that the EGS Parties also contend, without record evidence or any citation to pending legislation, that the Solar PPA could crowd out community solar projects under a hypothetical future statutory regime. This is speculative; there is no basis in the record to conclude that acquiring a long-term contract to meet a portion of solar requirements of default service customers would interfere with potential future community solar legislation.  Duquesne Light R. Exc. at 5.</w:t>
      </w:r>
    </w:p>
    <w:p w14:paraId="3DADC2A0" w14:textId="77777777" w:rsidR="00DA47B1" w:rsidRPr="00E951F4" w:rsidRDefault="00DA47B1" w:rsidP="00E951F4">
      <w:pPr>
        <w:widowControl/>
        <w:kinsoku w:val="0"/>
        <w:overflowPunct w:val="0"/>
        <w:spacing w:line="360" w:lineRule="auto"/>
        <w:ind w:firstLine="1440"/>
        <w:textAlignment w:val="baseline"/>
        <w:rPr>
          <w:rFonts w:eastAsiaTheme="minorEastAsia"/>
          <w:sz w:val="26"/>
          <w:szCs w:val="26"/>
        </w:rPr>
      </w:pPr>
    </w:p>
    <w:p w14:paraId="260DD4DC" w14:textId="08029C37" w:rsidR="008663E2" w:rsidRPr="00E951F4" w:rsidRDefault="008663E2" w:rsidP="00E951F4">
      <w:pPr>
        <w:widowControl/>
        <w:kinsoku w:val="0"/>
        <w:overflowPunct w:val="0"/>
        <w:spacing w:line="360" w:lineRule="auto"/>
        <w:ind w:firstLine="1440"/>
        <w:textAlignment w:val="baseline"/>
        <w:rPr>
          <w:rFonts w:eastAsiaTheme="minorEastAsia"/>
          <w:i/>
          <w:iCs/>
          <w:sz w:val="26"/>
          <w:szCs w:val="26"/>
        </w:rPr>
      </w:pPr>
      <w:r w:rsidRPr="00E951F4">
        <w:rPr>
          <w:rFonts w:eastAsiaTheme="minorEastAsia"/>
          <w:sz w:val="26"/>
          <w:szCs w:val="26"/>
        </w:rPr>
        <w:t xml:space="preserve">The Company argues that the ALJ also properly rejected the EGS Parties’ unsupported contention that a solar PPA would interfere with solar development in PJM, </w:t>
      </w:r>
      <w:r w:rsidRPr="00E951F4">
        <w:rPr>
          <w:rFonts w:eastAsiaTheme="minorEastAsia"/>
          <w:sz w:val="26"/>
          <w:szCs w:val="26"/>
        </w:rPr>
        <w:lastRenderedPageBreak/>
        <w:t xml:space="preserve">citing the OCA’s witness’ testimony on the PJM market.  Duquesne Light R. Exc. at 5.  The EGS Parties also reiterate their contention that the Company’s sale of energy from the solar contract into the market, for the convenience of managing load, would violate a prohibition concerning ownership of generation.  The Company submits that the ALJ considered and properly rejected this argument.  Duquesne Light R. Exc. at 5.  The Company points out that the EGS Parties do not acknowledge, much less rebut, prior instances in which the Commission has authorized default service providers to sell excess energy into the market for purposes of managing load.  </w:t>
      </w:r>
      <w:r w:rsidRPr="00E951F4">
        <w:rPr>
          <w:rFonts w:eastAsiaTheme="minorEastAsia"/>
          <w:i/>
          <w:iCs/>
          <w:sz w:val="26"/>
          <w:szCs w:val="26"/>
        </w:rPr>
        <w:t>Id.</w:t>
      </w:r>
    </w:p>
    <w:p w14:paraId="672FB1B9" w14:textId="77777777" w:rsidR="004E04E5" w:rsidRPr="00E951F4" w:rsidRDefault="004E04E5" w:rsidP="00E951F4">
      <w:pPr>
        <w:widowControl/>
        <w:kinsoku w:val="0"/>
        <w:overflowPunct w:val="0"/>
        <w:spacing w:line="360" w:lineRule="auto"/>
        <w:ind w:firstLine="1440"/>
        <w:textAlignment w:val="baseline"/>
        <w:rPr>
          <w:rFonts w:eastAsiaTheme="minorEastAsia"/>
          <w:i/>
          <w:iCs/>
          <w:sz w:val="26"/>
          <w:szCs w:val="26"/>
        </w:rPr>
      </w:pPr>
    </w:p>
    <w:p w14:paraId="07ADA89D"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 xml:space="preserve">Finally, in response to the EGS Parties’ contention that it would be acceptable for the Company to enter into a long-term contract for solar credits, the Company replies that the ALJ correctly recognized the evidence of record that the Company had tried this and had not been able to obtain a competitive contract that was solely for solar AECs.  R.D. at 49; Duquesne Light R. Exc. at 6.  According to the Company, the broader long-term Solar PPA proposed here is the next logical step in the process, as appropriately recognized by the ALJ.  </w:t>
      </w:r>
      <w:r w:rsidRPr="00E951F4">
        <w:rPr>
          <w:rFonts w:eastAsiaTheme="minorEastAsia"/>
          <w:i/>
          <w:iCs/>
          <w:sz w:val="26"/>
          <w:szCs w:val="26"/>
        </w:rPr>
        <w:t>Id.</w:t>
      </w:r>
    </w:p>
    <w:p w14:paraId="2C2A48A8"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p>
    <w:p w14:paraId="6D3222A8" w14:textId="4E103AA2"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The Company submits that for these reasons, the ALJ properly rejected the EGS Parties’ objections to the Solar PPA, which supplies a mechanism to add a market-based (7</w:t>
      </w:r>
      <w:r w:rsidR="00DA47B1" w:rsidRPr="00E951F4">
        <w:rPr>
          <w:rFonts w:eastAsiaTheme="minorEastAsia"/>
          <w:sz w:val="26"/>
          <w:szCs w:val="26"/>
        </w:rPr>
        <w:t xml:space="preserve"> </w:t>
      </w:r>
      <w:r w:rsidRPr="00E951F4">
        <w:rPr>
          <w:rFonts w:eastAsiaTheme="minorEastAsia"/>
          <w:sz w:val="26"/>
          <w:szCs w:val="26"/>
        </w:rPr>
        <w:t>MW) long-term contract to the already previously approved and successful DSP VIII procurement plan.  Duquesne Light R. Exc. at 7.</w:t>
      </w:r>
    </w:p>
    <w:p w14:paraId="4DD2A5CC" w14:textId="252F6A70"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p>
    <w:p w14:paraId="271310AC" w14:textId="56004D96" w:rsidR="008663E2" w:rsidRPr="00E951F4" w:rsidRDefault="008663E2" w:rsidP="00E951F4">
      <w:pPr>
        <w:keepNext/>
        <w:keepLines/>
        <w:widowControl/>
        <w:kinsoku w:val="0"/>
        <w:overflowPunct w:val="0"/>
        <w:spacing w:line="360" w:lineRule="auto"/>
        <w:ind w:firstLine="1440"/>
        <w:textAlignment w:val="baseline"/>
        <w:rPr>
          <w:rFonts w:eastAsiaTheme="minorEastAsia"/>
          <w:b/>
          <w:bCs/>
          <w:sz w:val="26"/>
          <w:szCs w:val="26"/>
        </w:rPr>
      </w:pPr>
      <w:r w:rsidRPr="00E951F4">
        <w:rPr>
          <w:rFonts w:eastAsiaTheme="minorEastAsia"/>
          <w:b/>
          <w:bCs/>
          <w:sz w:val="26"/>
          <w:szCs w:val="26"/>
        </w:rPr>
        <w:lastRenderedPageBreak/>
        <w:t>OCA Replies</w:t>
      </w:r>
    </w:p>
    <w:p w14:paraId="64AD4A1B" w14:textId="77777777" w:rsidR="008663E2" w:rsidRPr="00E951F4" w:rsidRDefault="008663E2" w:rsidP="00E951F4">
      <w:pPr>
        <w:keepNext/>
        <w:keepLines/>
        <w:widowControl/>
        <w:kinsoku w:val="0"/>
        <w:overflowPunct w:val="0"/>
        <w:spacing w:line="360" w:lineRule="auto"/>
        <w:ind w:firstLine="1440"/>
        <w:textAlignment w:val="baseline"/>
        <w:rPr>
          <w:rFonts w:eastAsiaTheme="minorEastAsia"/>
          <w:sz w:val="26"/>
          <w:szCs w:val="26"/>
        </w:rPr>
      </w:pPr>
    </w:p>
    <w:p w14:paraId="4D3BF8C8" w14:textId="6D3C415D" w:rsidR="008663E2" w:rsidRPr="00E951F4" w:rsidRDefault="008663E2" w:rsidP="00E951F4">
      <w:pPr>
        <w:keepNext/>
        <w:keepLines/>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The OCA responds to the Exceptions of the EGS Parties, urging the Commission to adopt the Recommended Decision as rendered by the ALJ without modification.  OCA R. Exc. at 1-2.  The OCA notes that the EGS Parties contend that “there is no legal basis on which to approve the proposed Solar PPA project.”  EGS Parties Exc. at 4.  Yet, as Duquesne Light explains in its Main Brief, the Company is proposing to enter into the long-term Solar PPA, which is one of the types of contracts that can be used to satisfy the “prudent mix” requirements of Act 129. Duquesne M.B. at</w:t>
      </w:r>
      <w:r w:rsidR="00171FD8">
        <w:rPr>
          <w:rFonts w:eastAsiaTheme="minorEastAsia"/>
          <w:sz w:val="26"/>
          <w:szCs w:val="26"/>
        </w:rPr>
        <w:t> </w:t>
      </w:r>
      <w:r w:rsidRPr="00E951F4">
        <w:rPr>
          <w:rFonts w:eastAsiaTheme="minorEastAsia"/>
          <w:sz w:val="26"/>
          <w:szCs w:val="26"/>
        </w:rPr>
        <w:t>25 (citing § 2807(e)(3.2) of the Code).  The OCA notes that Code section requires default service providers to enter into a prudent mix of contracts, including spot market purchases, short-term contracts, and long-term contracts.  In pursuing a long-term power purchase agreement with a solar power facility, the OCA contends that Duquesne Light is acting well within its rights, and indeed its obligations, under the Code.</w:t>
      </w:r>
    </w:p>
    <w:p w14:paraId="10C3ECBF"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p>
    <w:p w14:paraId="475E17EE" w14:textId="30DBCD9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The OCA also responds to the EGS Parties’ argument that the most serious concern with the Solar PPA is that it would put Duquesne Light into the business of buying and selling electricity on behalf of default service customers.  EGS Parties Exc. at</w:t>
      </w:r>
      <w:r w:rsidR="00171FD8">
        <w:rPr>
          <w:rFonts w:eastAsiaTheme="minorEastAsia"/>
          <w:sz w:val="26"/>
          <w:szCs w:val="26"/>
        </w:rPr>
        <w:t> </w:t>
      </w:r>
      <w:r w:rsidRPr="00E951F4">
        <w:rPr>
          <w:rFonts w:eastAsiaTheme="minorEastAsia"/>
          <w:sz w:val="26"/>
          <w:szCs w:val="26"/>
        </w:rPr>
        <w:t>5.  This is because in addition to purchasing the solar facility’s AECs, Duquesne Light also proposes to purchase the facility’s energy and to resell that energy into the PJM wholesale market.  Revenue from the resale of the energy is to be credited to default service customers.  The EGS Parties maintain that the plan to sell energy into the wholesale market goes well beyond what is authorized in Section 2807(e) of the Code.  OCA R. Exc. at 2-4.</w:t>
      </w:r>
    </w:p>
    <w:p w14:paraId="7FC8D64E"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p>
    <w:p w14:paraId="56D26E2A" w14:textId="3EF4AAA6"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 xml:space="preserve">The OCA submits that the Recommended Decision appropriately rejects the concerns of the EGS Parties in stating that the resale of the solar facility energy does not put Duquesne Light in the generation business.  The Company will not own the solar facility, but rather it will contract with the facility for its AECs and energy. </w:t>
      </w:r>
      <w:r w:rsidR="00EC37D8" w:rsidRPr="00E951F4">
        <w:rPr>
          <w:rFonts w:eastAsiaTheme="minorEastAsia"/>
          <w:sz w:val="26"/>
          <w:szCs w:val="26"/>
        </w:rPr>
        <w:t xml:space="preserve"> </w:t>
      </w:r>
      <w:r w:rsidRPr="00E951F4">
        <w:rPr>
          <w:rFonts w:eastAsiaTheme="minorEastAsia"/>
          <w:sz w:val="26"/>
          <w:szCs w:val="26"/>
        </w:rPr>
        <w:t xml:space="preserve">Notably, </w:t>
      </w:r>
      <w:r w:rsidRPr="00E951F4">
        <w:rPr>
          <w:rFonts w:eastAsiaTheme="minorEastAsia"/>
          <w:sz w:val="26"/>
          <w:szCs w:val="26"/>
        </w:rPr>
        <w:lastRenderedPageBreak/>
        <w:t>bilateral contracts are an authorized procurement method under Section 2807(e)(3.1), 66</w:t>
      </w:r>
      <w:r w:rsidR="00171FD8">
        <w:rPr>
          <w:rFonts w:eastAsiaTheme="minorEastAsia"/>
          <w:sz w:val="26"/>
          <w:szCs w:val="26"/>
        </w:rPr>
        <w:t> </w:t>
      </w:r>
      <w:r w:rsidRPr="00E951F4">
        <w:rPr>
          <w:rFonts w:eastAsiaTheme="minorEastAsia"/>
          <w:sz w:val="26"/>
          <w:szCs w:val="26"/>
        </w:rPr>
        <w:t>Pa. C.S. § 2807(e)(3.1).  The OCA points out that the Recommended Decision notes that the resale of the energy is “simply a process to balance supply and demand and obtain for default service customers additional value from the solar PPA.”  R.D. at 49, OCA R. Exc. at 3.  The OCA stated that it is also important to note that Duquesne Light has explained its rationale for reselling the solar energy. The Company states that reselling the energy will avoid interfering with the load following fixed price wholesale contracts it relies upon to provide default service energy requirements.  Without reselling the solar energy, the prices of the wholesale contracts could increase due to uncertainty over how much energy the solar facility will produce.  Duquesne Light R.B. at 11; OCA</w:t>
      </w:r>
      <w:r w:rsidR="00171FD8">
        <w:rPr>
          <w:rFonts w:eastAsiaTheme="minorEastAsia"/>
          <w:sz w:val="26"/>
          <w:szCs w:val="26"/>
        </w:rPr>
        <w:t> </w:t>
      </w:r>
      <w:r w:rsidRPr="00E951F4">
        <w:rPr>
          <w:rFonts w:eastAsiaTheme="minorEastAsia"/>
          <w:sz w:val="26"/>
          <w:szCs w:val="26"/>
        </w:rPr>
        <w:t>R. Exc. at 3-4.</w:t>
      </w:r>
    </w:p>
    <w:p w14:paraId="61D91699"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p>
    <w:p w14:paraId="6044E783" w14:textId="7873D939"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 xml:space="preserve">The OCA argues that Duquesne Light has appropriately noted that the Commission has previously authorized a Default Service Supplier to sell excess energy into the market when default service supply purchased under a block product exceeded the demands of default service customers.  </w:t>
      </w:r>
      <w:r w:rsidRPr="00E951F4">
        <w:rPr>
          <w:rFonts w:eastAsiaTheme="minorEastAsia"/>
          <w:i/>
          <w:iCs/>
          <w:sz w:val="26"/>
          <w:szCs w:val="26"/>
        </w:rPr>
        <w:t>Petition of PECO Energy</w:t>
      </w:r>
      <w:r w:rsidRPr="00E951F4">
        <w:rPr>
          <w:rFonts w:eastAsiaTheme="minorEastAsia"/>
          <w:i/>
          <w:iCs/>
          <w:sz w:val="26"/>
          <w:szCs w:val="26"/>
          <w:vertAlign w:val="superscript"/>
        </w:rPr>
        <w:t xml:space="preserve"> </w:t>
      </w:r>
      <w:r w:rsidRPr="00E951F4">
        <w:rPr>
          <w:rFonts w:eastAsiaTheme="minorEastAsia"/>
          <w:i/>
          <w:iCs/>
          <w:sz w:val="26"/>
          <w:szCs w:val="26"/>
        </w:rPr>
        <w:t>for Approval of Default Service Program and Rate Mitigation Plan (PECO Energy 2009 Order)</w:t>
      </w:r>
      <w:r w:rsidRPr="00171FD8">
        <w:rPr>
          <w:rFonts w:eastAsiaTheme="minorEastAsia"/>
          <w:sz w:val="26"/>
          <w:szCs w:val="26"/>
        </w:rPr>
        <w:t>,</w:t>
      </w:r>
      <w:r w:rsidRPr="00E951F4">
        <w:rPr>
          <w:rFonts w:eastAsiaTheme="minorEastAsia"/>
          <w:i/>
          <w:iCs/>
          <w:sz w:val="26"/>
          <w:szCs w:val="26"/>
        </w:rPr>
        <w:t xml:space="preserve"> </w:t>
      </w:r>
      <w:r w:rsidRPr="00E951F4">
        <w:rPr>
          <w:rFonts w:eastAsiaTheme="minorEastAsia"/>
          <w:sz w:val="26"/>
          <w:szCs w:val="26"/>
        </w:rPr>
        <w:t>Docket No. P-2008-2062739 (Order entered April 16, 2009) at 6-7 and 9.  OCA R. Exc. at 2-3.</w:t>
      </w:r>
    </w:p>
    <w:p w14:paraId="4E727710"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p>
    <w:p w14:paraId="184E7EED" w14:textId="0C03ECED"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 xml:space="preserve">Finally, with regard to the purchase of energy from the proposed solar facility, </w:t>
      </w:r>
      <w:r w:rsidR="000230D5" w:rsidRPr="00E951F4">
        <w:rPr>
          <w:rFonts w:eastAsiaTheme="minorEastAsia"/>
          <w:sz w:val="26"/>
          <w:szCs w:val="26"/>
        </w:rPr>
        <w:t xml:space="preserve">the </w:t>
      </w:r>
      <w:r w:rsidRPr="00E951F4">
        <w:rPr>
          <w:rFonts w:eastAsiaTheme="minorEastAsia"/>
          <w:sz w:val="26"/>
          <w:szCs w:val="26"/>
        </w:rPr>
        <w:t xml:space="preserve">OCA stresses that it is important to remember that the Commission approved a PPA for the purchase of solar AECs in Duquesne Light’s DSP VIII proceeding.  As explained by Duquesne Light and the ALJ, that PPA never came to fruition because solar developers were not interested in separating the AECs from the energy supply. </w:t>
      </w:r>
      <w:r w:rsidR="007B7EE9" w:rsidRPr="00E951F4">
        <w:rPr>
          <w:rFonts w:eastAsiaTheme="minorEastAsia"/>
          <w:sz w:val="26"/>
          <w:szCs w:val="26"/>
        </w:rPr>
        <w:t xml:space="preserve"> </w:t>
      </w:r>
      <w:r w:rsidRPr="00E951F4">
        <w:rPr>
          <w:rFonts w:eastAsiaTheme="minorEastAsia"/>
          <w:sz w:val="26"/>
          <w:szCs w:val="26"/>
        </w:rPr>
        <w:t>Duquesne Light St. 1 at 16; Duquesne Light R.B. at 12; and R.D. at 49.  As a result of this experience, Duquesne Light proposed in DSP IX to purchase both AECs and energy under a Solar PPA.</w:t>
      </w:r>
    </w:p>
    <w:p w14:paraId="166802F9"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p>
    <w:p w14:paraId="62A948D8" w14:textId="0F6145B0"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lastRenderedPageBreak/>
        <w:t xml:space="preserve">The OCA submits that Duquesne Light’s proposed </w:t>
      </w:r>
      <w:r w:rsidR="000032A1" w:rsidRPr="00E951F4">
        <w:rPr>
          <w:rFonts w:eastAsiaTheme="minorEastAsia"/>
          <w:sz w:val="26"/>
          <w:szCs w:val="26"/>
        </w:rPr>
        <w:t>S</w:t>
      </w:r>
      <w:r w:rsidRPr="00E951F4">
        <w:rPr>
          <w:rFonts w:eastAsiaTheme="minorEastAsia"/>
          <w:sz w:val="26"/>
          <w:szCs w:val="26"/>
        </w:rPr>
        <w:t>olar PPA establishes reasonable long-term contracts permitted by law, does not return the Company to the generation business, and as proposed, is reasonably structured.  The Commission has previously permitted the sale of excess default service energy, and the DSP IX Solar PPA is designed to complete a proposal that the Commission approved in DSP VIII.  For all of these reasons, the OCA argues that the Company’s Solar PPA proposal should be approved as recommended by the ALJ and the EGS Parties’ Exception should be denied.  OCA R. Exc. at 3-4 and 6.</w:t>
      </w:r>
    </w:p>
    <w:p w14:paraId="166EB2E7" w14:textId="77777777"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p>
    <w:p w14:paraId="2FD1FCF8" w14:textId="5B3770A9" w:rsidR="0023362C" w:rsidRPr="00E951F4" w:rsidRDefault="0023362C" w:rsidP="00E951F4">
      <w:pPr>
        <w:pStyle w:val="Heading4"/>
        <w:ind w:firstLine="0"/>
        <w:rPr>
          <w:rFonts w:eastAsiaTheme="minorEastAsia"/>
        </w:rPr>
      </w:pPr>
      <w:bookmarkStart w:id="103" w:name="_Toc59620154"/>
      <w:r w:rsidRPr="00E951F4">
        <w:rPr>
          <w:rFonts w:eastAsiaTheme="minorEastAsia"/>
        </w:rPr>
        <w:t xml:space="preserve">MAREC Exception </w:t>
      </w:r>
      <w:r w:rsidR="008663E2" w:rsidRPr="00E951F4">
        <w:rPr>
          <w:rFonts w:eastAsiaTheme="minorEastAsia"/>
        </w:rPr>
        <w:t>Nos. 1, 2, and 3, and Replies</w:t>
      </w:r>
      <w:bookmarkEnd w:id="103"/>
    </w:p>
    <w:p w14:paraId="25E280A6" w14:textId="77777777" w:rsidR="0023362C" w:rsidRPr="00E951F4" w:rsidRDefault="0023362C" w:rsidP="00E951F4">
      <w:pPr>
        <w:keepNext/>
        <w:widowControl/>
        <w:kinsoku w:val="0"/>
        <w:overflowPunct w:val="0"/>
        <w:spacing w:line="360" w:lineRule="auto"/>
        <w:ind w:right="144" w:firstLine="720"/>
        <w:textAlignment w:val="baseline"/>
        <w:rPr>
          <w:rFonts w:eastAsiaTheme="minorEastAsia"/>
          <w:b/>
          <w:bCs/>
          <w:sz w:val="26"/>
          <w:szCs w:val="26"/>
        </w:rPr>
      </w:pPr>
    </w:p>
    <w:p w14:paraId="7D6E2FE0" w14:textId="1FEAC164" w:rsidR="0023362C" w:rsidRPr="00E951F4" w:rsidRDefault="0023362C" w:rsidP="00E951F4">
      <w:pPr>
        <w:keepNext/>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MAREC states that it continues to believe that long-term renewable contracts benefit consumers by providing price stability, incentives to renewable development, lower renewable energy certificate prices, lower energy costs, economic development</w:t>
      </w:r>
      <w:r w:rsidR="00EC37D8" w:rsidRPr="00E951F4">
        <w:rPr>
          <w:rFonts w:eastAsiaTheme="minorEastAsia"/>
          <w:sz w:val="26"/>
          <w:szCs w:val="26"/>
        </w:rPr>
        <w:t>,</w:t>
      </w:r>
      <w:r w:rsidRPr="00E951F4">
        <w:rPr>
          <w:rFonts w:eastAsiaTheme="minorEastAsia"/>
          <w:sz w:val="26"/>
          <w:szCs w:val="26"/>
        </w:rPr>
        <w:t xml:space="preserve"> and reduced pollution.  MAREC agrees with the ALJ’s characterization of MAREC</w:t>
      </w:r>
      <w:r w:rsidR="007B0054" w:rsidRPr="00E951F4">
        <w:rPr>
          <w:rFonts w:eastAsiaTheme="minorEastAsia"/>
          <w:sz w:val="26"/>
          <w:szCs w:val="26"/>
        </w:rPr>
        <w:t>’</w:t>
      </w:r>
      <w:r w:rsidRPr="00E951F4">
        <w:rPr>
          <w:rFonts w:eastAsiaTheme="minorEastAsia"/>
          <w:sz w:val="26"/>
          <w:szCs w:val="26"/>
        </w:rPr>
        <w:t>s position with regard to the path forward, that being the establishment of a stakeholder working group on a prudent mix, including renewables contracts. MAREC claims that the Recommended Decision errs by failing to order same.  MAREC Exc.</w:t>
      </w:r>
      <w:r w:rsidR="00171FD8">
        <w:rPr>
          <w:rFonts w:eastAsiaTheme="minorEastAsia"/>
          <w:sz w:val="26"/>
          <w:szCs w:val="26"/>
        </w:rPr>
        <w:t xml:space="preserve"> </w:t>
      </w:r>
      <w:r w:rsidRPr="00E951F4">
        <w:rPr>
          <w:rFonts w:eastAsiaTheme="minorEastAsia"/>
          <w:sz w:val="26"/>
          <w:szCs w:val="26"/>
        </w:rPr>
        <w:t>at</w:t>
      </w:r>
      <w:r w:rsidR="00171FD8">
        <w:rPr>
          <w:rFonts w:eastAsiaTheme="minorEastAsia"/>
          <w:sz w:val="26"/>
          <w:szCs w:val="26"/>
        </w:rPr>
        <w:t> </w:t>
      </w:r>
      <w:r w:rsidRPr="00E951F4">
        <w:rPr>
          <w:rFonts w:eastAsiaTheme="minorEastAsia"/>
          <w:sz w:val="26"/>
          <w:szCs w:val="26"/>
        </w:rPr>
        <w:t>1</w:t>
      </w:r>
      <w:r w:rsidR="00171FD8">
        <w:rPr>
          <w:rFonts w:eastAsiaTheme="minorEastAsia"/>
          <w:sz w:val="26"/>
          <w:szCs w:val="26"/>
        </w:rPr>
        <w:noBreakHyphen/>
      </w:r>
      <w:r w:rsidRPr="00E951F4">
        <w:rPr>
          <w:rFonts w:eastAsiaTheme="minorEastAsia"/>
          <w:sz w:val="26"/>
          <w:szCs w:val="26"/>
        </w:rPr>
        <w:t>2.</w:t>
      </w:r>
    </w:p>
    <w:p w14:paraId="072FA0D6" w14:textId="77777777"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p>
    <w:p w14:paraId="4939D9FA" w14:textId="12CCB6E0"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MAREC claims that the Recommended Decision ignores the Commission</w:t>
      </w:r>
      <w:r w:rsidR="00EF486B" w:rsidRPr="00E951F4">
        <w:rPr>
          <w:rFonts w:eastAsiaTheme="minorEastAsia"/>
          <w:sz w:val="26"/>
          <w:szCs w:val="26"/>
        </w:rPr>
        <w:t>’s</w:t>
      </w:r>
      <w:r w:rsidRPr="00E951F4">
        <w:rPr>
          <w:rFonts w:eastAsiaTheme="minorEastAsia"/>
          <w:sz w:val="26"/>
          <w:szCs w:val="26"/>
        </w:rPr>
        <w:t xml:space="preserve"> directive with respect to contracts in </w:t>
      </w:r>
      <w:r w:rsidR="00EF486B" w:rsidRPr="00E951F4">
        <w:rPr>
          <w:rFonts w:eastAsiaTheme="minorEastAsia"/>
          <w:sz w:val="26"/>
          <w:szCs w:val="26"/>
        </w:rPr>
        <w:t xml:space="preserve">the </w:t>
      </w:r>
      <w:r w:rsidR="00EF486B" w:rsidRPr="00E951F4">
        <w:rPr>
          <w:rFonts w:eastAsiaTheme="minorEastAsia"/>
          <w:i/>
          <w:iCs/>
          <w:sz w:val="26"/>
          <w:szCs w:val="26"/>
        </w:rPr>
        <w:t>January 23, 2020 Se</w:t>
      </w:r>
      <w:r w:rsidRPr="00E951F4">
        <w:rPr>
          <w:rFonts w:eastAsiaTheme="minorEastAsia"/>
          <w:i/>
          <w:iCs/>
          <w:sz w:val="26"/>
          <w:szCs w:val="26"/>
        </w:rPr>
        <w:t>cretarial Letter</w:t>
      </w:r>
      <w:r w:rsidR="00EF486B" w:rsidRPr="00E951F4">
        <w:rPr>
          <w:rFonts w:eastAsiaTheme="minorEastAsia"/>
          <w:sz w:val="26"/>
          <w:szCs w:val="26"/>
        </w:rPr>
        <w:t>,</w:t>
      </w:r>
      <w:r w:rsidRPr="00E951F4">
        <w:rPr>
          <w:rFonts w:eastAsiaTheme="minorEastAsia"/>
          <w:sz w:val="26"/>
          <w:szCs w:val="26"/>
        </w:rPr>
        <w:t xml:space="preserve"> where the Commission referenced MAREC</w:t>
      </w:r>
      <w:r w:rsidR="00EF486B" w:rsidRPr="00E951F4">
        <w:rPr>
          <w:rFonts w:eastAsiaTheme="minorEastAsia"/>
          <w:sz w:val="26"/>
          <w:szCs w:val="26"/>
        </w:rPr>
        <w:t>’</w:t>
      </w:r>
      <w:r w:rsidRPr="00E951F4">
        <w:rPr>
          <w:rFonts w:eastAsiaTheme="minorEastAsia"/>
          <w:sz w:val="26"/>
          <w:szCs w:val="26"/>
        </w:rPr>
        <w:t xml:space="preserve">s Comments concerning long-term contracts for renewables, agreed on the importance of this issue, and requested EDCs to address this procurement mechanism in their DSP proposals. </w:t>
      </w:r>
    </w:p>
    <w:p w14:paraId="4B6C3A6A" w14:textId="77777777" w:rsidR="0023362C" w:rsidRPr="00E951F4" w:rsidRDefault="0023362C" w:rsidP="00E951F4">
      <w:pPr>
        <w:widowControl/>
        <w:kinsoku w:val="0"/>
        <w:overflowPunct w:val="0"/>
        <w:spacing w:line="360" w:lineRule="auto"/>
        <w:ind w:right="144" w:firstLine="1440"/>
        <w:textAlignment w:val="baseline"/>
        <w:rPr>
          <w:rFonts w:eastAsiaTheme="minorEastAsia"/>
          <w:sz w:val="26"/>
          <w:szCs w:val="26"/>
        </w:rPr>
      </w:pPr>
    </w:p>
    <w:p w14:paraId="1209D23F" w14:textId="1C95ED5A" w:rsidR="0023362C" w:rsidRPr="00171FD8" w:rsidRDefault="0023362C" w:rsidP="00E951F4">
      <w:pPr>
        <w:keepNext/>
        <w:widowControl/>
        <w:kinsoku w:val="0"/>
        <w:overflowPunct w:val="0"/>
        <w:ind w:right="144" w:firstLine="1440"/>
        <w:textAlignment w:val="baseline"/>
        <w:rPr>
          <w:rFonts w:eastAsiaTheme="minorEastAsia"/>
          <w:color w:val="000000" w:themeColor="text1"/>
          <w:sz w:val="26"/>
          <w:szCs w:val="26"/>
        </w:rPr>
      </w:pPr>
      <w:r w:rsidRPr="00171FD8">
        <w:rPr>
          <w:rFonts w:eastAsiaTheme="minorEastAsia"/>
          <w:color w:val="000000" w:themeColor="text1"/>
          <w:sz w:val="26"/>
          <w:szCs w:val="26"/>
        </w:rPr>
        <w:t>The Commission</w:t>
      </w:r>
      <w:r w:rsidR="00EF486B" w:rsidRPr="00171FD8">
        <w:rPr>
          <w:rFonts w:eastAsiaTheme="minorEastAsia"/>
          <w:color w:val="000000" w:themeColor="text1"/>
          <w:sz w:val="26"/>
          <w:szCs w:val="26"/>
        </w:rPr>
        <w:t>’</w:t>
      </w:r>
      <w:r w:rsidRPr="00171FD8">
        <w:rPr>
          <w:rFonts w:eastAsiaTheme="minorEastAsia"/>
          <w:color w:val="000000" w:themeColor="text1"/>
          <w:sz w:val="26"/>
          <w:szCs w:val="26"/>
        </w:rPr>
        <w:t>s directive in this regard was quite clear:</w:t>
      </w:r>
    </w:p>
    <w:p w14:paraId="3EBF498C" w14:textId="77777777" w:rsidR="00E43C96" w:rsidRPr="00171FD8" w:rsidRDefault="00E43C96" w:rsidP="00E951F4">
      <w:pPr>
        <w:keepNext/>
        <w:widowControl/>
        <w:kinsoku w:val="0"/>
        <w:overflowPunct w:val="0"/>
        <w:ind w:right="144" w:firstLine="1440"/>
        <w:textAlignment w:val="baseline"/>
        <w:rPr>
          <w:rFonts w:eastAsiaTheme="minorEastAsia"/>
          <w:color w:val="000000" w:themeColor="text1"/>
          <w:sz w:val="26"/>
          <w:szCs w:val="26"/>
        </w:rPr>
      </w:pPr>
    </w:p>
    <w:p w14:paraId="1DD37748" w14:textId="22916903" w:rsidR="0023362C" w:rsidRPr="00E951F4" w:rsidRDefault="0023362C" w:rsidP="00171FD8">
      <w:pPr>
        <w:keepNext/>
        <w:widowControl/>
        <w:kinsoku w:val="0"/>
        <w:overflowPunct w:val="0"/>
        <w:ind w:left="720" w:right="864"/>
        <w:textAlignment w:val="baseline"/>
        <w:rPr>
          <w:rFonts w:eastAsiaTheme="minorEastAsia"/>
          <w:sz w:val="26"/>
          <w:szCs w:val="26"/>
        </w:rPr>
      </w:pPr>
      <w:r w:rsidRPr="00171FD8">
        <w:rPr>
          <w:rFonts w:eastAsiaTheme="minorEastAsia"/>
          <w:color w:val="000000" w:themeColor="text1"/>
          <w:sz w:val="26"/>
          <w:szCs w:val="26"/>
        </w:rPr>
        <w:t xml:space="preserve">Concerning procurement and </w:t>
      </w:r>
      <w:r w:rsidRPr="00E951F4">
        <w:rPr>
          <w:rFonts w:eastAsiaTheme="minorEastAsia"/>
          <w:sz w:val="26"/>
          <w:szCs w:val="26"/>
        </w:rPr>
        <w:t xml:space="preserve">long-term contracts, the Commission agrees that long-term contracts need to be carefully considered and that we need </w:t>
      </w:r>
      <w:r w:rsidRPr="00E951F4">
        <w:rPr>
          <w:rFonts w:eastAsiaTheme="minorEastAsia"/>
          <w:sz w:val="26"/>
          <w:szCs w:val="26"/>
        </w:rPr>
        <w:lastRenderedPageBreak/>
        <w:t xml:space="preserve">to consider this topic further in upcoming DSP proceedings. </w:t>
      </w:r>
      <w:r w:rsidR="001751BA" w:rsidRPr="00E951F4">
        <w:rPr>
          <w:rFonts w:eastAsiaTheme="minorEastAsia"/>
          <w:sz w:val="26"/>
          <w:szCs w:val="26"/>
        </w:rPr>
        <w:t xml:space="preserve"> </w:t>
      </w:r>
      <w:r w:rsidRPr="00E951F4">
        <w:rPr>
          <w:rFonts w:eastAsiaTheme="minorEastAsia"/>
          <w:sz w:val="26"/>
          <w:szCs w:val="26"/>
        </w:rPr>
        <w:t xml:space="preserve">We request that the EDCs include in their filings evidence showing how its DSP proposal complies with the prudent mix requirements of the Public Utility Code [Act 129] and case law. </w:t>
      </w:r>
    </w:p>
    <w:p w14:paraId="54A756EE" w14:textId="77777777" w:rsidR="00EF486B" w:rsidRPr="00E951F4" w:rsidRDefault="00EF486B" w:rsidP="00E951F4">
      <w:pPr>
        <w:keepNext/>
        <w:widowControl/>
        <w:kinsoku w:val="0"/>
        <w:overflowPunct w:val="0"/>
        <w:spacing w:line="360" w:lineRule="auto"/>
        <w:ind w:right="864"/>
        <w:textAlignment w:val="baseline"/>
        <w:rPr>
          <w:rFonts w:eastAsiaTheme="minorEastAsia"/>
          <w:i/>
          <w:iCs/>
          <w:sz w:val="26"/>
          <w:szCs w:val="26"/>
        </w:rPr>
      </w:pPr>
    </w:p>
    <w:p w14:paraId="5493C811" w14:textId="5A272922" w:rsidR="0023362C" w:rsidRPr="00E951F4" w:rsidRDefault="001751BA" w:rsidP="00E951F4">
      <w:pPr>
        <w:keepNext/>
        <w:widowControl/>
        <w:kinsoku w:val="0"/>
        <w:overflowPunct w:val="0"/>
        <w:spacing w:line="360" w:lineRule="auto"/>
        <w:ind w:right="864"/>
        <w:textAlignment w:val="baseline"/>
        <w:rPr>
          <w:rFonts w:eastAsiaTheme="minorEastAsia"/>
          <w:i/>
          <w:iCs/>
          <w:sz w:val="26"/>
          <w:szCs w:val="26"/>
        </w:rPr>
      </w:pPr>
      <w:r w:rsidRPr="00E951F4">
        <w:rPr>
          <w:rFonts w:eastAsiaTheme="minorEastAsia"/>
          <w:i/>
          <w:iCs/>
          <w:sz w:val="26"/>
          <w:szCs w:val="26"/>
        </w:rPr>
        <w:t>January 23, 2020 Secretarial Letter</w:t>
      </w:r>
      <w:r w:rsidR="0023362C" w:rsidRPr="00E951F4">
        <w:rPr>
          <w:rFonts w:eastAsiaTheme="minorEastAsia"/>
          <w:i/>
          <w:iCs/>
          <w:sz w:val="26"/>
          <w:szCs w:val="26"/>
        </w:rPr>
        <w:t xml:space="preserve"> </w:t>
      </w:r>
      <w:r w:rsidR="0023362C" w:rsidRPr="00E951F4">
        <w:rPr>
          <w:rFonts w:eastAsiaTheme="minorEastAsia"/>
          <w:sz w:val="26"/>
          <w:szCs w:val="26"/>
        </w:rPr>
        <w:t>at 8.</w:t>
      </w:r>
    </w:p>
    <w:p w14:paraId="63BD0225" w14:textId="77777777" w:rsidR="001751BA" w:rsidRPr="00E951F4" w:rsidRDefault="001751BA" w:rsidP="00E951F4">
      <w:pPr>
        <w:widowControl/>
        <w:kinsoku w:val="0"/>
        <w:overflowPunct w:val="0"/>
        <w:spacing w:line="360" w:lineRule="auto"/>
        <w:ind w:right="144" w:firstLine="1440"/>
        <w:textAlignment w:val="baseline"/>
        <w:rPr>
          <w:rFonts w:eastAsiaTheme="minorEastAsia"/>
          <w:sz w:val="26"/>
          <w:szCs w:val="26"/>
        </w:rPr>
      </w:pPr>
    </w:p>
    <w:p w14:paraId="446F15E2" w14:textId="359CEEA6"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MAREC claims that the record in this proceeding, as it stands</w:t>
      </w:r>
      <w:r w:rsidR="00495EEA" w:rsidRPr="00E951F4">
        <w:rPr>
          <w:rFonts w:eastAsiaTheme="minorEastAsia"/>
          <w:sz w:val="26"/>
          <w:szCs w:val="26"/>
        </w:rPr>
        <w:t xml:space="preserve"> now</w:t>
      </w:r>
      <w:r w:rsidRPr="00E951F4">
        <w:rPr>
          <w:rFonts w:eastAsiaTheme="minorEastAsia"/>
          <w:sz w:val="26"/>
          <w:szCs w:val="26"/>
        </w:rPr>
        <w:t>, does not support Duquesne Light</w:t>
      </w:r>
      <w:r w:rsidR="00B72C76" w:rsidRPr="00E951F4">
        <w:rPr>
          <w:rFonts w:eastAsiaTheme="minorEastAsia"/>
          <w:sz w:val="26"/>
          <w:szCs w:val="26"/>
        </w:rPr>
        <w:t>’</w:t>
      </w:r>
      <w:r w:rsidRPr="00E951F4">
        <w:rPr>
          <w:rFonts w:eastAsiaTheme="minorEastAsia"/>
          <w:sz w:val="26"/>
          <w:szCs w:val="26"/>
        </w:rPr>
        <w:t xml:space="preserve">s contention that its plan achieves a prudent mix of contracts for its DSP and that this mix is </w:t>
      </w:r>
      <w:r w:rsidR="00B72C76" w:rsidRPr="00E951F4">
        <w:rPr>
          <w:rFonts w:eastAsiaTheme="minorEastAsia"/>
          <w:sz w:val="26"/>
          <w:szCs w:val="26"/>
        </w:rPr>
        <w:t>“</w:t>
      </w:r>
      <w:r w:rsidRPr="00E951F4">
        <w:rPr>
          <w:rFonts w:eastAsiaTheme="minorEastAsia"/>
          <w:sz w:val="26"/>
          <w:szCs w:val="26"/>
        </w:rPr>
        <w:t>the least cost to customers over time.</w:t>
      </w:r>
      <w:r w:rsidR="00B72C76" w:rsidRPr="00E951F4">
        <w:rPr>
          <w:rFonts w:eastAsiaTheme="minorEastAsia"/>
          <w:sz w:val="26"/>
          <w:szCs w:val="26"/>
        </w:rPr>
        <w:t>”</w:t>
      </w:r>
      <w:r w:rsidRPr="00E951F4">
        <w:rPr>
          <w:rFonts w:eastAsiaTheme="minorEastAsia"/>
          <w:sz w:val="26"/>
          <w:szCs w:val="26"/>
        </w:rPr>
        <w:t xml:space="preserve">  MAREC Exc. at</w:t>
      </w:r>
      <w:r w:rsidR="004E04E5" w:rsidRPr="00E951F4">
        <w:rPr>
          <w:rFonts w:eastAsiaTheme="minorEastAsia"/>
          <w:sz w:val="26"/>
          <w:szCs w:val="26"/>
        </w:rPr>
        <w:t> </w:t>
      </w:r>
      <w:r w:rsidRPr="00E951F4">
        <w:rPr>
          <w:rFonts w:eastAsiaTheme="minorEastAsia"/>
          <w:sz w:val="26"/>
          <w:szCs w:val="26"/>
        </w:rPr>
        <w:t>2-3.</w:t>
      </w:r>
    </w:p>
    <w:p w14:paraId="74A7538B" w14:textId="77777777"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p>
    <w:p w14:paraId="523CF089" w14:textId="5F76DE91"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MAREC notes that the Recommended Decision refers to MAREC</w:t>
      </w:r>
      <w:r w:rsidR="00B72C76" w:rsidRPr="00E951F4">
        <w:rPr>
          <w:rFonts w:eastAsiaTheme="minorEastAsia"/>
          <w:sz w:val="26"/>
          <w:szCs w:val="26"/>
        </w:rPr>
        <w:t>’</w:t>
      </w:r>
      <w:r w:rsidRPr="00E951F4">
        <w:rPr>
          <w:rFonts w:eastAsiaTheme="minorEastAsia"/>
          <w:sz w:val="26"/>
          <w:szCs w:val="26"/>
        </w:rPr>
        <w:t>s proposal to employ an all-resource Request for Proposals followed by Integrated Resource Modelling to determine the least-cost mix of resources that meet the Company</w:t>
      </w:r>
      <w:r w:rsidR="00B72C76" w:rsidRPr="00E951F4">
        <w:rPr>
          <w:rFonts w:eastAsiaTheme="minorEastAsia"/>
          <w:sz w:val="26"/>
          <w:szCs w:val="26"/>
        </w:rPr>
        <w:t>’</w:t>
      </w:r>
      <w:r w:rsidRPr="00E951F4">
        <w:rPr>
          <w:rFonts w:eastAsiaTheme="minorEastAsia"/>
          <w:sz w:val="26"/>
          <w:szCs w:val="26"/>
        </w:rPr>
        <w:t>s other requirements</w:t>
      </w:r>
      <w:r w:rsidR="00B72C76" w:rsidRPr="00E951F4">
        <w:rPr>
          <w:rFonts w:eastAsiaTheme="minorEastAsia"/>
          <w:sz w:val="26"/>
          <w:szCs w:val="26"/>
        </w:rPr>
        <w:t>,</w:t>
      </w:r>
      <w:r w:rsidRPr="00E951F4">
        <w:rPr>
          <w:rFonts w:eastAsiaTheme="minorEastAsia"/>
          <w:sz w:val="26"/>
          <w:szCs w:val="26"/>
        </w:rPr>
        <w:t xml:space="preserve"> including its AECs obligation, but concludes that MAREC</w:t>
      </w:r>
      <w:r w:rsidR="00B72C76" w:rsidRPr="00E951F4">
        <w:rPr>
          <w:rFonts w:eastAsiaTheme="minorEastAsia"/>
          <w:sz w:val="26"/>
          <w:szCs w:val="26"/>
        </w:rPr>
        <w:t>’</w:t>
      </w:r>
      <w:r w:rsidRPr="00E951F4">
        <w:rPr>
          <w:rFonts w:eastAsiaTheme="minorEastAsia"/>
          <w:sz w:val="26"/>
          <w:szCs w:val="26"/>
        </w:rPr>
        <w:t>s recommendation is vague and lacks the necessary specificity for it to be actionable.  MAREC claims that the Recommended Decision overlooks the fact that a stakeholder group would resolve any specificity and vagueness issues, including the requirements for Commission approval.  MAREC Exc. at 3.</w:t>
      </w:r>
    </w:p>
    <w:p w14:paraId="06E4871F" w14:textId="77777777"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p>
    <w:p w14:paraId="08207174" w14:textId="593DB255" w:rsidR="0023362C" w:rsidRPr="00E951F4" w:rsidRDefault="0023362C" w:rsidP="00E951F4">
      <w:pPr>
        <w:widowControl/>
        <w:kinsoku w:val="0"/>
        <w:overflowPunct w:val="0"/>
        <w:spacing w:line="360" w:lineRule="auto"/>
        <w:ind w:firstLine="1440"/>
        <w:textAlignment w:val="baseline"/>
        <w:rPr>
          <w:sz w:val="26"/>
          <w:szCs w:val="26"/>
        </w:rPr>
      </w:pPr>
      <w:r w:rsidRPr="00E951F4">
        <w:rPr>
          <w:sz w:val="26"/>
          <w:szCs w:val="26"/>
        </w:rPr>
        <w:t>MAREC argues that, while the Recommended Decision briefly considers MAREC</w:t>
      </w:r>
      <w:r w:rsidR="008B2619" w:rsidRPr="00E951F4">
        <w:rPr>
          <w:sz w:val="26"/>
          <w:szCs w:val="26"/>
        </w:rPr>
        <w:t>’s</w:t>
      </w:r>
      <w:r w:rsidRPr="00E951F4">
        <w:rPr>
          <w:sz w:val="26"/>
          <w:szCs w:val="26"/>
        </w:rPr>
        <w:t xml:space="preserve"> proposal for a collaboration on long-term contracts and the possible reopening of this DSP IX proceeding to change the plan, contrary to the Recommended Decision</w:t>
      </w:r>
      <w:r w:rsidR="008B2619" w:rsidRPr="00E951F4">
        <w:rPr>
          <w:sz w:val="26"/>
          <w:szCs w:val="26"/>
        </w:rPr>
        <w:t>’</w:t>
      </w:r>
      <w:r w:rsidRPr="00E951F4">
        <w:rPr>
          <w:sz w:val="26"/>
          <w:szCs w:val="26"/>
        </w:rPr>
        <w:t>s conclusion, additional long-term renewable contracts could provide a basis for reconsideration of the supply mix ultimately approved by the Commission in this case.  MAREC submits that this would be a subject for the stakeholder group.  MAREC Exc. at</w:t>
      </w:r>
      <w:r w:rsidR="00171FD8">
        <w:rPr>
          <w:sz w:val="26"/>
          <w:szCs w:val="26"/>
        </w:rPr>
        <w:t> </w:t>
      </w:r>
      <w:r w:rsidRPr="00E951F4">
        <w:rPr>
          <w:sz w:val="26"/>
          <w:szCs w:val="26"/>
        </w:rPr>
        <w:t>3-4.</w:t>
      </w:r>
    </w:p>
    <w:p w14:paraId="15843CA0" w14:textId="77777777" w:rsidR="00A66BE0" w:rsidRPr="00E951F4" w:rsidRDefault="00A66BE0" w:rsidP="00E951F4">
      <w:pPr>
        <w:widowControl/>
        <w:kinsoku w:val="0"/>
        <w:overflowPunct w:val="0"/>
        <w:spacing w:line="360" w:lineRule="auto"/>
        <w:ind w:firstLine="1440"/>
        <w:textAlignment w:val="baseline"/>
        <w:rPr>
          <w:sz w:val="26"/>
          <w:szCs w:val="26"/>
        </w:rPr>
      </w:pPr>
    </w:p>
    <w:p w14:paraId="103E1743" w14:textId="2EEF5433"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lastRenderedPageBreak/>
        <w:t>For all of these reasons, MAREC submits that its Exceptions should be granted</w:t>
      </w:r>
      <w:r w:rsidR="00171FD8">
        <w:rPr>
          <w:rFonts w:eastAsiaTheme="minorEastAsia"/>
          <w:sz w:val="26"/>
          <w:szCs w:val="26"/>
        </w:rPr>
        <w:t>,</w:t>
      </w:r>
      <w:r w:rsidRPr="00E951F4">
        <w:rPr>
          <w:rFonts w:eastAsiaTheme="minorEastAsia"/>
          <w:sz w:val="26"/>
          <w:szCs w:val="26"/>
        </w:rPr>
        <w:t xml:space="preserve"> and Duquesne should be required to work with stakeholders to design a prudent mix that allows consumers to receive the benefits of long</w:t>
      </w:r>
      <w:r w:rsidR="00554DE1" w:rsidRPr="00E951F4">
        <w:rPr>
          <w:rFonts w:eastAsiaTheme="minorEastAsia"/>
          <w:sz w:val="26"/>
          <w:szCs w:val="26"/>
        </w:rPr>
        <w:t>-</w:t>
      </w:r>
      <w:r w:rsidRPr="00E951F4">
        <w:rPr>
          <w:rFonts w:eastAsiaTheme="minorEastAsia"/>
          <w:sz w:val="26"/>
          <w:szCs w:val="26"/>
        </w:rPr>
        <w:t>term contracts for renewables.  MAREC asserts that the Commission could determine to amend DSP IX to include the proposal that would take effect after year one or two of Duquesne's DSP IX.  MAREC offers that, in the event that a stakeholder disagrees with the outcome of the working group's efforts, it should be permitted to file a Petition with the Commission to contest the proposal or to request consideration of its own proposal.  MAREC Exc. at 4.</w:t>
      </w:r>
    </w:p>
    <w:p w14:paraId="41FD3FAC" w14:textId="5F154150" w:rsidR="008663E2" w:rsidRPr="00E951F4" w:rsidRDefault="008663E2" w:rsidP="00E951F4">
      <w:pPr>
        <w:widowControl/>
        <w:kinsoku w:val="0"/>
        <w:overflowPunct w:val="0"/>
        <w:spacing w:line="360" w:lineRule="auto"/>
        <w:ind w:right="144" w:firstLine="1440"/>
        <w:textAlignment w:val="baseline"/>
        <w:rPr>
          <w:rFonts w:eastAsiaTheme="minorEastAsia"/>
          <w:sz w:val="26"/>
          <w:szCs w:val="26"/>
        </w:rPr>
      </w:pPr>
    </w:p>
    <w:p w14:paraId="4D77941F" w14:textId="5074C037" w:rsidR="008663E2" w:rsidRPr="00E951F4" w:rsidRDefault="008663E2" w:rsidP="00E951F4">
      <w:pPr>
        <w:keepNext/>
        <w:widowControl/>
        <w:kinsoku w:val="0"/>
        <w:overflowPunct w:val="0"/>
        <w:spacing w:line="360" w:lineRule="auto"/>
        <w:ind w:right="144" w:firstLine="1440"/>
        <w:textAlignment w:val="baseline"/>
        <w:rPr>
          <w:rFonts w:eastAsiaTheme="minorEastAsia"/>
          <w:b/>
          <w:bCs/>
          <w:sz w:val="26"/>
          <w:szCs w:val="26"/>
        </w:rPr>
      </w:pPr>
      <w:r w:rsidRPr="00E951F4">
        <w:rPr>
          <w:rFonts w:eastAsiaTheme="minorEastAsia"/>
          <w:b/>
          <w:bCs/>
          <w:sz w:val="26"/>
          <w:szCs w:val="26"/>
        </w:rPr>
        <w:t>Duquesne Light Replies</w:t>
      </w:r>
    </w:p>
    <w:p w14:paraId="7EA4DD04" w14:textId="15BFDE8A" w:rsidR="008663E2" w:rsidRPr="00E951F4" w:rsidRDefault="008663E2" w:rsidP="00E951F4">
      <w:pPr>
        <w:keepNext/>
        <w:widowControl/>
        <w:kinsoku w:val="0"/>
        <w:overflowPunct w:val="0"/>
        <w:spacing w:line="360" w:lineRule="auto"/>
        <w:ind w:right="144" w:firstLine="1440"/>
        <w:textAlignment w:val="baseline"/>
        <w:rPr>
          <w:rFonts w:eastAsiaTheme="minorEastAsia"/>
          <w:sz w:val="26"/>
          <w:szCs w:val="26"/>
        </w:rPr>
      </w:pPr>
    </w:p>
    <w:p w14:paraId="12A56C4E" w14:textId="77777777" w:rsidR="008663E2" w:rsidRPr="00E951F4" w:rsidRDefault="008663E2" w:rsidP="00E951F4">
      <w:pPr>
        <w:keepNext/>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 xml:space="preserve">In its Replies to Exceptions, Duquesne Light asserts that the Recommended Decision is well-reasoned and supported by applicable law and the record evidence in this proceeding.  Duquesne Light submits that, therefore, the Exceptions of MAREC and the EGS Parties should be rejected and the Recommended Decision should be approved by the Commission.  Duquesne Light R. Exc. at 1.  </w:t>
      </w:r>
    </w:p>
    <w:p w14:paraId="6F389E76"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p>
    <w:p w14:paraId="6A24028F" w14:textId="4C5742D8"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sz w:val="26"/>
          <w:szCs w:val="26"/>
        </w:rPr>
        <w:t>Duquesne Light reiterates that it proposes to solicit bids for a long-term (four-twenty years) Solar PPA to meet a portion of the Solar AEPS Act requirements of its default service customers.  Duquesne Light M.B. at 24-26</w:t>
      </w:r>
      <w:r w:rsidR="008B3666" w:rsidRPr="00E951F4">
        <w:rPr>
          <w:sz w:val="26"/>
          <w:szCs w:val="26"/>
        </w:rPr>
        <w:t>;</w:t>
      </w:r>
      <w:r w:rsidRPr="00E951F4">
        <w:rPr>
          <w:sz w:val="26"/>
          <w:szCs w:val="26"/>
        </w:rPr>
        <w:t xml:space="preserve"> 66 Pa. C.S. § 2807(e)(3.2)</w:t>
      </w:r>
      <w:r w:rsidR="008B3666" w:rsidRPr="00E951F4">
        <w:rPr>
          <w:sz w:val="26"/>
          <w:szCs w:val="26"/>
        </w:rPr>
        <w:t>;</w:t>
      </w:r>
      <w:r w:rsidRPr="00E951F4">
        <w:rPr>
          <w:sz w:val="26"/>
          <w:szCs w:val="26"/>
        </w:rPr>
        <w:t xml:space="preserve"> Duquesne Light R. Exc. at 1.  Under the currently-effective DSP VIII procurement plan, </w:t>
      </w:r>
      <w:r w:rsidRPr="00E951F4">
        <w:rPr>
          <w:rFonts w:eastAsiaTheme="minorEastAsia"/>
          <w:sz w:val="26"/>
          <w:szCs w:val="26"/>
        </w:rPr>
        <w:t xml:space="preserve">wholesale suppliers under fixed price contracts provide all of this requirement to Duquesne Light for its default service customers.  Duquesne Light St. 2 at 5.  The </w:t>
      </w:r>
      <w:r w:rsidR="006A1DA3" w:rsidRPr="00E951F4">
        <w:rPr>
          <w:rFonts w:eastAsiaTheme="minorEastAsia"/>
          <w:sz w:val="26"/>
          <w:szCs w:val="26"/>
        </w:rPr>
        <w:t>S</w:t>
      </w:r>
      <w:r w:rsidRPr="00E951F4">
        <w:rPr>
          <w:rFonts w:eastAsiaTheme="minorEastAsia"/>
          <w:sz w:val="26"/>
          <w:szCs w:val="26"/>
        </w:rPr>
        <w:t>olar PPA would provide about half of the solar requirement for default service customers.  Duquesne Light M.B. at 30.</w:t>
      </w:r>
    </w:p>
    <w:p w14:paraId="02832529" w14:textId="77777777" w:rsidR="008663E2" w:rsidRPr="00E951F4" w:rsidRDefault="008663E2" w:rsidP="00E951F4">
      <w:pPr>
        <w:widowControl/>
        <w:kinsoku w:val="0"/>
        <w:overflowPunct w:val="0"/>
        <w:spacing w:line="360" w:lineRule="auto"/>
        <w:textAlignment w:val="baseline"/>
        <w:rPr>
          <w:rFonts w:eastAsiaTheme="minorEastAsia"/>
          <w:sz w:val="26"/>
          <w:szCs w:val="26"/>
        </w:rPr>
      </w:pPr>
    </w:p>
    <w:p w14:paraId="7C353702" w14:textId="77777777"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 xml:space="preserve">Duquesne Light explains that MAREC continues to contend that Duquesne Light should be using more long-term renewable contracts in its proposed DSP IX procurement plan and that the plan, including the Solar PPA, does not meet the prudent </w:t>
      </w:r>
      <w:r w:rsidRPr="00E951F4">
        <w:rPr>
          <w:rFonts w:eastAsiaTheme="minorEastAsia"/>
          <w:sz w:val="26"/>
          <w:szCs w:val="26"/>
        </w:rPr>
        <w:lastRenderedPageBreak/>
        <w:t>mix standard of Act 129.  In contrast, the EGS Parties contend that no long-term solar PPA should be approved.  The Company submits that the ALJ properly rejected both MAREC’s and the EGS Parties’ objections.  Duquesne Light R. Exc. at 2-4; R.D. at 51.</w:t>
      </w:r>
    </w:p>
    <w:p w14:paraId="208C52DF" w14:textId="77777777" w:rsidR="008663E2" w:rsidRPr="00E951F4" w:rsidRDefault="008663E2" w:rsidP="00E951F4">
      <w:pPr>
        <w:widowControl/>
        <w:kinsoku w:val="0"/>
        <w:overflowPunct w:val="0"/>
        <w:spacing w:line="360" w:lineRule="auto"/>
        <w:textAlignment w:val="baseline"/>
        <w:rPr>
          <w:rFonts w:eastAsiaTheme="minorEastAsia"/>
          <w:sz w:val="26"/>
          <w:szCs w:val="26"/>
        </w:rPr>
      </w:pPr>
    </w:p>
    <w:p w14:paraId="42540B41" w14:textId="27BE71AF"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The Company notes that in its four separate Exceptions, MAREC advances reasons why a stakeholder group should be mandated to reconsider the procurement plan for DSP IX and to adopt more long-term contracts for renewable generation than proposed by the Company.  Duquesne Light R. Exc. at 3.  The Company submits that the primary purpose of this proceeding was to establish the DSP IX procurement plan.  MAREC had a full and fair opportunity to advance and justify its proposed long-term renewable procurements, but failed to advance any specific proposal, offering only its vague and undefined proposal that the Company should employ an “all-resource request for proposals followed by Integrated Resource Modelling to determine the procurement plan.”  MAREC Exceptions at 3; R.D. at 45; Duquesne Light R. Exc. at 3.  The Company argues that the ALJ, relying on Duquesne Light’s expert testimony, correctly concluded that MAREC had an opportunity to present a detailed proposal, but did not.  Duquesne Light R. Exc. at 3.  Duquesne Light avers that the ALJ correctly concluded that MAREC did not present sufficient evidence to justify its proposed development of an alternative procurement plan for the Company’s DSP IX.  Further, Duquesne Light argues that the ALJ correctly concluded that there is no basis to give MAREC a second chance to do that in a subsequent stakeholder process.  Duquesne Light R. Exc. at 3.</w:t>
      </w:r>
    </w:p>
    <w:p w14:paraId="501C1D7E" w14:textId="77777777" w:rsidR="001B40DD" w:rsidRPr="00E951F4" w:rsidRDefault="001B40DD" w:rsidP="00E951F4">
      <w:pPr>
        <w:widowControl/>
        <w:kinsoku w:val="0"/>
        <w:overflowPunct w:val="0"/>
        <w:spacing w:line="360" w:lineRule="auto"/>
        <w:ind w:firstLine="1440"/>
        <w:textAlignment w:val="baseline"/>
        <w:rPr>
          <w:rFonts w:eastAsiaTheme="minorEastAsia"/>
          <w:sz w:val="26"/>
          <w:szCs w:val="26"/>
        </w:rPr>
      </w:pPr>
    </w:p>
    <w:p w14:paraId="223D4D4A" w14:textId="3341C0EB" w:rsidR="008663E2" w:rsidRPr="00E951F4" w:rsidRDefault="008663E2"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 xml:space="preserve">Duquesne Light submits that MAREC’s statement in its Exceptions that the Recommended Decision ignores the Commission’s directive with respect to long-term contracts is neither fair to the ALJ nor reasonable. </w:t>
      </w:r>
      <w:r w:rsidR="00925307" w:rsidRPr="00E951F4">
        <w:rPr>
          <w:rFonts w:eastAsiaTheme="minorEastAsia"/>
          <w:sz w:val="26"/>
          <w:szCs w:val="26"/>
        </w:rPr>
        <w:t xml:space="preserve"> </w:t>
      </w:r>
      <w:r w:rsidRPr="00E951F4">
        <w:rPr>
          <w:rFonts w:eastAsiaTheme="minorEastAsia"/>
          <w:sz w:val="26"/>
          <w:szCs w:val="26"/>
        </w:rPr>
        <w:t>MAREC Exceptions at 2; Duquesne Light R. Exc. at 3.  Basically, it is uncontested that the Commission directed consideration of long-term contracts in the EDCs’ individual DSP proceedings.  R.D. at</w:t>
      </w:r>
      <w:r w:rsidR="00171FD8">
        <w:rPr>
          <w:rFonts w:eastAsiaTheme="minorEastAsia"/>
          <w:sz w:val="26"/>
          <w:szCs w:val="26"/>
        </w:rPr>
        <w:t> </w:t>
      </w:r>
      <w:r w:rsidRPr="00E951F4">
        <w:rPr>
          <w:rFonts w:eastAsiaTheme="minorEastAsia"/>
          <w:sz w:val="26"/>
          <w:szCs w:val="26"/>
        </w:rPr>
        <w:t>47.  The Company claims that it was responsive</w:t>
      </w:r>
      <w:r w:rsidR="00337139" w:rsidRPr="00E951F4">
        <w:rPr>
          <w:rFonts w:eastAsiaTheme="minorEastAsia"/>
          <w:sz w:val="26"/>
          <w:szCs w:val="26"/>
        </w:rPr>
        <w:t xml:space="preserve"> to the Commission’s directive by</w:t>
      </w:r>
      <w:r w:rsidRPr="00E951F4">
        <w:rPr>
          <w:rFonts w:eastAsiaTheme="minorEastAsia"/>
          <w:sz w:val="26"/>
          <w:szCs w:val="26"/>
        </w:rPr>
        <w:t xml:space="preserve"> propos</w:t>
      </w:r>
      <w:r w:rsidR="00337139" w:rsidRPr="00E951F4">
        <w:rPr>
          <w:rFonts w:eastAsiaTheme="minorEastAsia"/>
          <w:sz w:val="26"/>
          <w:szCs w:val="26"/>
        </w:rPr>
        <w:t>ing</w:t>
      </w:r>
      <w:r w:rsidRPr="00E951F4">
        <w:rPr>
          <w:rFonts w:eastAsiaTheme="minorEastAsia"/>
          <w:sz w:val="26"/>
          <w:szCs w:val="26"/>
        </w:rPr>
        <w:t xml:space="preserve"> a long-term </w:t>
      </w:r>
      <w:r w:rsidR="002E0B7D" w:rsidRPr="00E951F4">
        <w:rPr>
          <w:rFonts w:eastAsiaTheme="minorEastAsia"/>
          <w:sz w:val="26"/>
          <w:szCs w:val="26"/>
        </w:rPr>
        <w:t>S</w:t>
      </w:r>
      <w:r w:rsidRPr="00E951F4">
        <w:rPr>
          <w:rFonts w:eastAsiaTheme="minorEastAsia"/>
          <w:sz w:val="26"/>
          <w:szCs w:val="26"/>
        </w:rPr>
        <w:t xml:space="preserve">olar PPA, which most other parties either support or do not </w:t>
      </w:r>
      <w:r w:rsidRPr="00E951F4">
        <w:rPr>
          <w:rFonts w:eastAsiaTheme="minorEastAsia"/>
          <w:sz w:val="26"/>
          <w:szCs w:val="26"/>
        </w:rPr>
        <w:lastRenderedPageBreak/>
        <w:t>oppose.   Duquesne Light</w:t>
      </w:r>
      <w:r w:rsidR="00337139" w:rsidRPr="00E951F4">
        <w:rPr>
          <w:rFonts w:eastAsiaTheme="minorEastAsia"/>
          <w:sz w:val="26"/>
          <w:szCs w:val="26"/>
        </w:rPr>
        <w:t xml:space="preserve"> states that</w:t>
      </w:r>
      <w:r w:rsidR="00BB450C" w:rsidRPr="00E951F4">
        <w:rPr>
          <w:rFonts w:eastAsiaTheme="minorEastAsia"/>
          <w:sz w:val="26"/>
          <w:szCs w:val="26"/>
        </w:rPr>
        <w:t xml:space="preserve"> it has</w:t>
      </w:r>
      <w:r w:rsidRPr="00E951F4">
        <w:rPr>
          <w:rFonts w:eastAsiaTheme="minorEastAsia"/>
          <w:sz w:val="26"/>
          <w:szCs w:val="26"/>
        </w:rPr>
        <w:t xml:space="preserve"> consider</w:t>
      </w:r>
      <w:r w:rsidR="00BB450C" w:rsidRPr="00E951F4">
        <w:rPr>
          <w:rFonts w:eastAsiaTheme="minorEastAsia"/>
          <w:sz w:val="26"/>
          <w:szCs w:val="26"/>
        </w:rPr>
        <w:t>ed</w:t>
      </w:r>
      <w:r w:rsidR="00DC63D4" w:rsidRPr="00E951F4">
        <w:rPr>
          <w:rFonts w:eastAsiaTheme="minorEastAsia"/>
          <w:sz w:val="26"/>
          <w:szCs w:val="26"/>
        </w:rPr>
        <w:t xml:space="preserve"> </w:t>
      </w:r>
      <w:r w:rsidR="00BB450C" w:rsidRPr="00E951F4">
        <w:rPr>
          <w:rFonts w:eastAsiaTheme="minorEastAsia"/>
          <w:sz w:val="26"/>
          <w:szCs w:val="26"/>
        </w:rPr>
        <w:t>the matter</w:t>
      </w:r>
      <w:r w:rsidRPr="00E951F4">
        <w:rPr>
          <w:rFonts w:eastAsiaTheme="minorEastAsia"/>
          <w:sz w:val="26"/>
          <w:szCs w:val="26"/>
        </w:rPr>
        <w:t xml:space="preserve"> and  has produced a constructive solution. </w:t>
      </w:r>
      <w:r w:rsidR="009A4C51" w:rsidRPr="00E951F4">
        <w:rPr>
          <w:rFonts w:eastAsiaTheme="minorEastAsia"/>
          <w:sz w:val="26"/>
          <w:szCs w:val="26"/>
        </w:rPr>
        <w:t xml:space="preserve"> </w:t>
      </w:r>
      <w:r w:rsidRPr="00E951F4">
        <w:rPr>
          <w:rFonts w:eastAsiaTheme="minorEastAsia"/>
          <w:sz w:val="26"/>
          <w:szCs w:val="26"/>
        </w:rPr>
        <w:t>Duquesne Light R. Exc. at 3.</w:t>
      </w:r>
    </w:p>
    <w:p w14:paraId="24CACC21" w14:textId="77777777" w:rsidR="008663E2" w:rsidRPr="00E951F4" w:rsidRDefault="008663E2" w:rsidP="00E951F4">
      <w:pPr>
        <w:widowControl/>
        <w:kinsoku w:val="0"/>
        <w:overflowPunct w:val="0"/>
        <w:spacing w:line="360" w:lineRule="auto"/>
        <w:ind w:firstLine="720"/>
        <w:textAlignment w:val="baseline"/>
        <w:rPr>
          <w:rFonts w:eastAsiaTheme="minorEastAsia"/>
          <w:sz w:val="26"/>
          <w:szCs w:val="26"/>
        </w:rPr>
      </w:pPr>
    </w:p>
    <w:p w14:paraId="3526EADB" w14:textId="230CE8DC" w:rsidR="0023362C" w:rsidRPr="00E951F4" w:rsidRDefault="008663E2" w:rsidP="00171FD8">
      <w:pPr>
        <w:widowControl/>
        <w:kinsoku w:val="0"/>
        <w:overflowPunct w:val="0"/>
        <w:spacing w:line="360" w:lineRule="auto"/>
        <w:ind w:right="144" w:firstLine="1440"/>
        <w:textAlignment w:val="baseline"/>
        <w:rPr>
          <w:rFonts w:eastAsiaTheme="minorEastAsia"/>
          <w:b/>
          <w:bCs/>
          <w:sz w:val="26"/>
          <w:szCs w:val="26"/>
        </w:rPr>
      </w:pPr>
      <w:r w:rsidRPr="00E951F4">
        <w:rPr>
          <w:rFonts w:eastAsiaTheme="minorEastAsia"/>
          <w:sz w:val="26"/>
          <w:szCs w:val="26"/>
        </w:rPr>
        <w:t>Finally, Duquesne Light submits that the ALJ appropriately rejected MAREC’s claim that the record in this proceeding does not support a conclusion that the Company’s plan achieves a prudent mix of contracts for DSP IX.  MAREC Exc. at</w:t>
      </w:r>
      <w:r w:rsidR="00171FD8">
        <w:rPr>
          <w:rFonts w:eastAsiaTheme="minorEastAsia"/>
          <w:sz w:val="26"/>
          <w:szCs w:val="26"/>
        </w:rPr>
        <w:t> </w:t>
      </w:r>
      <w:r w:rsidRPr="00E951F4">
        <w:rPr>
          <w:rFonts w:eastAsiaTheme="minorEastAsia"/>
          <w:sz w:val="26"/>
          <w:szCs w:val="26"/>
        </w:rPr>
        <w:t xml:space="preserve">3, Duquesne Light R. Exc. at 3-4.  The Company submits that competent evidence of record supports a contrary conclusion.  </w:t>
      </w:r>
      <w:r w:rsidRPr="00E951F4">
        <w:rPr>
          <w:rFonts w:eastAsiaTheme="minorEastAsia"/>
          <w:i/>
          <w:iCs/>
          <w:sz w:val="26"/>
          <w:szCs w:val="26"/>
        </w:rPr>
        <w:t xml:space="preserve">Id.  </w:t>
      </w:r>
      <w:r w:rsidRPr="00E951F4">
        <w:rPr>
          <w:rFonts w:eastAsiaTheme="minorEastAsia"/>
          <w:sz w:val="26"/>
          <w:szCs w:val="26"/>
        </w:rPr>
        <w:t>For these reasons, MAREC’s Exceptions should be rejected and the ALJ’s well-reasoned Recommended Decision should be adopted.  Duquesne Light R. Exc. at 4.</w:t>
      </w:r>
    </w:p>
    <w:p w14:paraId="0197362A" w14:textId="77777777" w:rsidR="0023362C" w:rsidRPr="00E951F4" w:rsidRDefault="0023362C" w:rsidP="00171FD8">
      <w:pPr>
        <w:widowControl/>
        <w:kinsoku w:val="0"/>
        <w:overflowPunct w:val="0"/>
        <w:spacing w:line="360" w:lineRule="auto"/>
        <w:ind w:firstLine="720"/>
        <w:textAlignment w:val="baseline"/>
        <w:rPr>
          <w:rFonts w:eastAsiaTheme="minorEastAsia"/>
          <w:sz w:val="26"/>
          <w:szCs w:val="26"/>
        </w:rPr>
      </w:pPr>
    </w:p>
    <w:p w14:paraId="2105A5CD" w14:textId="0994086D" w:rsidR="0023362C" w:rsidRPr="00E951F4" w:rsidRDefault="0023362C" w:rsidP="00171FD8">
      <w:pPr>
        <w:pStyle w:val="Heading3"/>
        <w:rPr>
          <w:rFonts w:eastAsiaTheme="minorEastAsia"/>
        </w:rPr>
      </w:pPr>
      <w:bookmarkStart w:id="104" w:name="_Toc59620155"/>
      <w:bookmarkStart w:id="105" w:name="_Toc60912049"/>
      <w:r w:rsidRPr="00E951F4">
        <w:rPr>
          <w:rFonts w:eastAsiaTheme="minorEastAsia"/>
        </w:rPr>
        <w:t>Disposition</w:t>
      </w:r>
      <w:bookmarkEnd w:id="104"/>
      <w:bookmarkEnd w:id="105"/>
    </w:p>
    <w:p w14:paraId="70B67A52" w14:textId="77777777" w:rsidR="0023362C" w:rsidRPr="00E951F4" w:rsidRDefault="0023362C" w:rsidP="00171FD8">
      <w:pPr>
        <w:keepNext/>
        <w:widowControl/>
        <w:kinsoku w:val="0"/>
        <w:overflowPunct w:val="0"/>
        <w:spacing w:line="360" w:lineRule="auto"/>
        <w:textAlignment w:val="baseline"/>
        <w:rPr>
          <w:rFonts w:eastAsiaTheme="minorEastAsia"/>
          <w:sz w:val="26"/>
          <w:szCs w:val="26"/>
        </w:rPr>
      </w:pPr>
    </w:p>
    <w:p w14:paraId="18E99D05" w14:textId="59C1D348" w:rsidR="00A35EAC" w:rsidRPr="00E951F4" w:rsidRDefault="008E67DD" w:rsidP="00171FD8">
      <w:pPr>
        <w:keepNext/>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Based on our review of the record</w:t>
      </w:r>
      <w:r w:rsidR="00A35EAC" w:rsidRPr="00E951F4">
        <w:rPr>
          <w:rFonts w:eastAsiaTheme="minorEastAsia"/>
          <w:sz w:val="26"/>
          <w:szCs w:val="26"/>
        </w:rPr>
        <w:t xml:space="preserve"> and the applicable law, we shall </w:t>
      </w:r>
      <w:r w:rsidR="00F9681A" w:rsidRPr="00E951F4">
        <w:rPr>
          <w:rFonts w:eastAsiaTheme="minorEastAsia"/>
          <w:sz w:val="26"/>
          <w:szCs w:val="26"/>
        </w:rPr>
        <w:t xml:space="preserve">deny the Exceptions of the EGS Parties and MAREC and </w:t>
      </w:r>
      <w:r w:rsidR="00A35EAC" w:rsidRPr="00E951F4">
        <w:rPr>
          <w:rFonts w:eastAsiaTheme="minorEastAsia"/>
          <w:sz w:val="26"/>
          <w:szCs w:val="26"/>
        </w:rPr>
        <w:t xml:space="preserve">adopt the ALJ’s well-reasoned </w:t>
      </w:r>
      <w:r w:rsidR="00FF3CF8" w:rsidRPr="00E951F4">
        <w:rPr>
          <w:rFonts w:eastAsiaTheme="minorEastAsia"/>
          <w:sz w:val="26"/>
          <w:szCs w:val="26"/>
        </w:rPr>
        <w:t>recommendation</w:t>
      </w:r>
      <w:r w:rsidR="00A35EAC" w:rsidRPr="00E951F4">
        <w:rPr>
          <w:rFonts w:eastAsiaTheme="minorEastAsia"/>
          <w:sz w:val="26"/>
          <w:szCs w:val="26"/>
        </w:rPr>
        <w:t xml:space="preserve"> on the </w:t>
      </w:r>
      <w:r w:rsidR="008663E2" w:rsidRPr="00E951F4">
        <w:rPr>
          <w:rFonts w:eastAsiaTheme="minorEastAsia"/>
          <w:sz w:val="26"/>
          <w:szCs w:val="26"/>
        </w:rPr>
        <w:t>S</w:t>
      </w:r>
      <w:r w:rsidR="00A35EAC" w:rsidRPr="00E951F4">
        <w:rPr>
          <w:rFonts w:eastAsiaTheme="minorEastAsia"/>
          <w:sz w:val="26"/>
          <w:szCs w:val="26"/>
        </w:rPr>
        <w:t xml:space="preserve">olar PPA issue.  </w:t>
      </w:r>
    </w:p>
    <w:p w14:paraId="6070BA19" w14:textId="77777777" w:rsidR="00FF3CF8" w:rsidRPr="00E951F4" w:rsidRDefault="00FF3CF8" w:rsidP="00E951F4">
      <w:pPr>
        <w:widowControl/>
        <w:kinsoku w:val="0"/>
        <w:overflowPunct w:val="0"/>
        <w:spacing w:line="360" w:lineRule="auto"/>
        <w:ind w:firstLine="1440"/>
        <w:textAlignment w:val="baseline"/>
        <w:rPr>
          <w:rFonts w:eastAsiaTheme="minorEastAsia"/>
          <w:sz w:val="26"/>
          <w:szCs w:val="26"/>
        </w:rPr>
      </w:pPr>
    </w:p>
    <w:p w14:paraId="2F84C077" w14:textId="67A00B20" w:rsidR="009E6EA6"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We begin by noting that all of Duquesne Light’s default service supplies will be procured through competitive procurement processes.  Duquesne Light is proposing a prudent mix of contracts for customers that will provide least cost to customers over time, while taking into account the benefits of price stability for customers.</w:t>
      </w:r>
      <w:r w:rsidR="009E6EA6" w:rsidRPr="00E951F4">
        <w:rPr>
          <w:rFonts w:eastAsiaTheme="minorEastAsia"/>
          <w:sz w:val="26"/>
          <w:szCs w:val="26"/>
        </w:rPr>
        <w:t xml:space="preserve">  Accordingly, we find that</w:t>
      </w:r>
      <w:r w:rsidR="00FD0A04" w:rsidRPr="00E951F4">
        <w:rPr>
          <w:rFonts w:eastAsiaTheme="minorEastAsia"/>
          <w:sz w:val="26"/>
          <w:szCs w:val="26"/>
        </w:rPr>
        <w:t xml:space="preserve"> Duquesne Light’s proposal is consistent with the Competition Act, </w:t>
      </w:r>
      <w:r w:rsidR="000819D3" w:rsidRPr="00E951F4">
        <w:rPr>
          <w:rFonts w:eastAsiaTheme="minorEastAsia"/>
          <w:sz w:val="26"/>
          <w:szCs w:val="26"/>
        </w:rPr>
        <w:t>which provides that t</w:t>
      </w:r>
      <w:r w:rsidR="00FD0A04" w:rsidRPr="00E951F4">
        <w:rPr>
          <w:sz w:val="26"/>
          <w:szCs w:val="26"/>
        </w:rPr>
        <w:t xml:space="preserve">he Default Service provider follow a Commission-approved competitive procurement plan; that the competitive procurement plan include auctions, requests for proposal, and/or bilateral agreements; </w:t>
      </w:r>
      <w:r w:rsidR="00A150AD" w:rsidRPr="00E951F4">
        <w:rPr>
          <w:sz w:val="26"/>
          <w:szCs w:val="26"/>
        </w:rPr>
        <w:t xml:space="preserve">and </w:t>
      </w:r>
      <w:r w:rsidR="00FD0A04" w:rsidRPr="00E951F4">
        <w:rPr>
          <w:sz w:val="26"/>
          <w:szCs w:val="26"/>
        </w:rPr>
        <w:t xml:space="preserve">that the plan include a prudent mix of spot market purchases, short-term contracts, and long-term purchase contracts designed to ensure adequate and reliable service at the least cost to customers over time.  66 Pa. C.S. §§ 2807(e)(3.1), (e)(3.2), (e)(3.4), (f)(5).  </w:t>
      </w:r>
    </w:p>
    <w:p w14:paraId="54FBAFCA" w14:textId="77777777" w:rsidR="004E04E5" w:rsidRPr="00E951F4" w:rsidRDefault="004E04E5" w:rsidP="00E951F4">
      <w:pPr>
        <w:widowControl/>
        <w:kinsoku w:val="0"/>
        <w:overflowPunct w:val="0"/>
        <w:spacing w:line="360" w:lineRule="auto"/>
        <w:ind w:firstLine="1440"/>
        <w:textAlignment w:val="baseline"/>
        <w:rPr>
          <w:rFonts w:eastAsiaTheme="minorEastAsia"/>
          <w:sz w:val="26"/>
          <w:szCs w:val="26"/>
        </w:rPr>
      </w:pPr>
    </w:p>
    <w:p w14:paraId="57B64469" w14:textId="3D8190FC" w:rsidR="0023362C" w:rsidRPr="00E951F4" w:rsidRDefault="009E6EA6"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lastRenderedPageBreak/>
        <w:t>A</w:t>
      </w:r>
      <w:r w:rsidR="0023362C" w:rsidRPr="00E951F4">
        <w:rPr>
          <w:rFonts w:eastAsiaTheme="minorEastAsia"/>
          <w:sz w:val="26"/>
          <w:szCs w:val="26"/>
        </w:rPr>
        <w:t xml:space="preserve">s the ALJ noted, there is no need for a long-term projection of future prices to justify the approval of the actual contract by the Commission.  </w:t>
      </w:r>
      <w:r w:rsidR="0095193C" w:rsidRPr="00E951F4">
        <w:rPr>
          <w:rFonts w:eastAsiaTheme="minorEastAsia"/>
          <w:sz w:val="26"/>
          <w:szCs w:val="26"/>
        </w:rPr>
        <w:t xml:space="preserve">Thus, we shall reject the OCA’s recommendation regarding the same.  </w:t>
      </w:r>
      <w:r w:rsidR="0023362C" w:rsidRPr="00E951F4">
        <w:rPr>
          <w:rFonts w:eastAsiaTheme="minorEastAsia"/>
          <w:sz w:val="26"/>
          <w:szCs w:val="26"/>
        </w:rPr>
        <w:t>The ALJ appropriately concluded that projecting long-term prices is speculative and without purpose in evaluating whether to proceed with a long-term contract.  We approve the Company’s proposal, as part of the DSP IX procurement plan, subject to review of the contract with the selected project sponsor.</w:t>
      </w:r>
    </w:p>
    <w:p w14:paraId="066B5DEB" w14:textId="77777777"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p>
    <w:p w14:paraId="5FFEB7D1" w14:textId="75D0F4B5"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Duquesne Light provided explanations of how its DSP meets the prudent mix standard</w:t>
      </w:r>
      <w:r w:rsidR="00551764" w:rsidRPr="00E951F4">
        <w:rPr>
          <w:rFonts w:eastAsiaTheme="minorEastAsia"/>
          <w:sz w:val="26"/>
          <w:szCs w:val="26"/>
        </w:rPr>
        <w:t xml:space="preserve"> set forth in the Competition Act</w:t>
      </w:r>
      <w:r w:rsidRPr="00E951F4">
        <w:rPr>
          <w:rFonts w:eastAsiaTheme="minorEastAsia"/>
          <w:sz w:val="26"/>
          <w:szCs w:val="26"/>
        </w:rPr>
        <w:t xml:space="preserve">. </w:t>
      </w:r>
      <w:r w:rsidR="00C77787" w:rsidRPr="00E951F4">
        <w:rPr>
          <w:rFonts w:eastAsiaTheme="minorEastAsia"/>
          <w:sz w:val="26"/>
          <w:szCs w:val="26"/>
        </w:rPr>
        <w:t xml:space="preserve"> </w:t>
      </w:r>
      <w:r w:rsidRPr="00E951F4">
        <w:rPr>
          <w:rFonts w:eastAsiaTheme="minorEastAsia"/>
          <w:sz w:val="26"/>
          <w:szCs w:val="26"/>
        </w:rPr>
        <w:t xml:space="preserve">This evidence explains how the mix of contracts, which also includes products and terms previously employed and approved by the Commission, is designed to ensure least cost over time, taking into account the benefits of price stability and including prudent steps to obtain least cost generation supplies. </w:t>
      </w:r>
      <w:r w:rsidR="00551764" w:rsidRPr="00E951F4">
        <w:rPr>
          <w:rFonts w:eastAsiaTheme="minorEastAsia"/>
          <w:sz w:val="26"/>
          <w:szCs w:val="26"/>
        </w:rPr>
        <w:t xml:space="preserve"> </w:t>
      </w:r>
      <w:r w:rsidRPr="00E951F4">
        <w:rPr>
          <w:rFonts w:eastAsiaTheme="minorEastAsia"/>
          <w:sz w:val="26"/>
          <w:szCs w:val="26"/>
        </w:rPr>
        <w:t xml:space="preserve">As noted by the ALJ, Duquesne Light also supplied an extensive quantitative analysis regarding price stability benefits of the supply products in the plan. </w:t>
      </w:r>
      <w:r w:rsidR="00551764" w:rsidRPr="00E951F4">
        <w:rPr>
          <w:rFonts w:eastAsiaTheme="minorEastAsia"/>
          <w:sz w:val="26"/>
          <w:szCs w:val="26"/>
        </w:rPr>
        <w:t xml:space="preserve"> </w:t>
      </w:r>
      <w:r w:rsidRPr="00E951F4">
        <w:rPr>
          <w:rFonts w:eastAsiaTheme="minorEastAsia"/>
          <w:sz w:val="26"/>
          <w:szCs w:val="26"/>
        </w:rPr>
        <w:t xml:space="preserve">The Company also explained how it considered Commission guidance on the prudent mix to be employed. </w:t>
      </w:r>
      <w:r w:rsidR="00551764" w:rsidRPr="00E951F4">
        <w:rPr>
          <w:rFonts w:eastAsiaTheme="minorEastAsia"/>
          <w:sz w:val="26"/>
          <w:szCs w:val="26"/>
        </w:rPr>
        <w:t xml:space="preserve"> </w:t>
      </w:r>
      <w:r w:rsidRPr="00E951F4">
        <w:rPr>
          <w:rFonts w:eastAsiaTheme="minorEastAsia"/>
          <w:sz w:val="26"/>
          <w:szCs w:val="26"/>
        </w:rPr>
        <w:t xml:space="preserve">In addition, except with respect to MAREC’s and the EGS Parties’ specific concerns related to the </w:t>
      </w:r>
      <w:r w:rsidR="0095193C" w:rsidRPr="00E951F4">
        <w:rPr>
          <w:rFonts w:eastAsiaTheme="minorEastAsia"/>
          <w:sz w:val="26"/>
          <w:szCs w:val="26"/>
        </w:rPr>
        <w:t>S</w:t>
      </w:r>
      <w:r w:rsidRPr="00E951F4">
        <w:rPr>
          <w:rFonts w:eastAsiaTheme="minorEastAsia"/>
          <w:sz w:val="26"/>
          <w:szCs w:val="26"/>
        </w:rPr>
        <w:t xml:space="preserve">olar PPA, no </w:t>
      </w:r>
      <w:r w:rsidR="0095193C" w:rsidRPr="00E951F4">
        <w:rPr>
          <w:rFonts w:eastAsiaTheme="minorEastAsia"/>
          <w:sz w:val="26"/>
          <w:szCs w:val="26"/>
        </w:rPr>
        <w:t>P</w:t>
      </w:r>
      <w:r w:rsidRPr="00E951F4">
        <w:rPr>
          <w:rFonts w:eastAsiaTheme="minorEastAsia"/>
          <w:sz w:val="26"/>
          <w:szCs w:val="26"/>
        </w:rPr>
        <w:t>arty</w:t>
      </w:r>
      <w:r w:rsidR="0095193C" w:rsidRPr="00E951F4">
        <w:rPr>
          <w:rFonts w:eastAsiaTheme="minorEastAsia"/>
          <w:sz w:val="26"/>
          <w:szCs w:val="26"/>
        </w:rPr>
        <w:t xml:space="preserve"> in this proceeding</w:t>
      </w:r>
      <w:r w:rsidRPr="00E951F4">
        <w:rPr>
          <w:rFonts w:eastAsiaTheme="minorEastAsia"/>
          <w:sz w:val="26"/>
          <w:szCs w:val="26"/>
        </w:rPr>
        <w:t xml:space="preserve"> objected to the prudency of </w:t>
      </w:r>
      <w:r w:rsidR="00551764" w:rsidRPr="00E951F4">
        <w:rPr>
          <w:rFonts w:eastAsiaTheme="minorEastAsia"/>
          <w:sz w:val="26"/>
          <w:szCs w:val="26"/>
        </w:rPr>
        <w:t xml:space="preserve">the </w:t>
      </w:r>
      <w:r w:rsidRPr="00E951F4">
        <w:rPr>
          <w:rFonts w:eastAsiaTheme="minorEastAsia"/>
          <w:sz w:val="26"/>
          <w:szCs w:val="26"/>
        </w:rPr>
        <w:t>Company’s proposed contract mix, which is accordingly memorialized in the Partial Settlement.</w:t>
      </w:r>
    </w:p>
    <w:p w14:paraId="49DEB6A6" w14:textId="77777777"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p>
    <w:p w14:paraId="348CCED0" w14:textId="5D9C7667" w:rsidR="0023362C" w:rsidRPr="00E951F4" w:rsidRDefault="0023362C" w:rsidP="00E951F4">
      <w:pPr>
        <w:widowControl/>
        <w:kinsoku w:val="0"/>
        <w:overflowPunct w:val="0"/>
        <w:spacing w:line="360" w:lineRule="auto"/>
        <w:ind w:firstLine="1440"/>
        <w:textAlignment w:val="baseline"/>
        <w:rPr>
          <w:sz w:val="26"/>
          <w:szCs w:val="26"/>
        </w:rPr>
      </w:pPr>
      <w:r w:rsidRPr="00E951F4">
        <w:rPr>
          <w:rFonts w:eastAsiaTheme="minorEastAsia"/>
          <w:sz w:val="26"/>
          <w:szCs w:val="26"/>
        </w:rPr>
        <w:t xml:space="preserve">Duquesne Light proposed its long-term </w:t>
      </w:r>
      <w:r w:rsidR="0095193C" w:rsidRPr="00E951F4">
        <w:rPr>
          <w:rFonts w:eastAsiaTheme="minorEastAsia"/>
          <w:sz w:val="26"/>
          <w:szCs w:val="26"/>
        </w:rPr>
        <w:t>S</w:t>
      </w:r>
      <w:r w:rsidRPr="00E951F4">
        <w:rPr>
          <w:rFonts w:eastAsiaTheme="minorEastAsia"/>
          <w:sz w:val="26"/>
          <w:szCs w:val="26"/>
        </w:rPr>
        <w:t xml:space="preserve">olar PPA, in part, in response to the Commission’s guidance.  It is important to examine the </w:t>
      </w:r>
      <w:r w:rsidR="00D80A57" w:rsidRPr="00E951F4">
        <w:rPr>
          <w:rFonts w:eastAsiaTheme="minorEastAsia"/>
          <w:sz w:val="26"/>
          <w:szCs w:val="26"/>
        </w:rPr>
        <w:t>S</w:t>
      </w:r>
      <w:r w:rsidRPr="00E951F4">
        <w:rPr>
          <w:rFonts w:eastAsiaTheme="minorEastAsia"/>
          <w:sz w:val="26"/>
          <w:szCs w:val="26"/>
        </w:rPr>
        <w:t xml:space="preserve">olar PPA in the context of the DSP </w:t>
      </w:r>
      <w:r w:rsidR="00D80A57" w:rsidRPr="00E951F4">
        <w:rPr>
          <w:rFonts w:eastAsiaTheme="minorEastAsia"/>
          <w:sz w:val="26"/>
          <w:szCs w:val="26"/>
        </w:rPr>
        <w:t>P</w:t>
      </w:r>
      <w:r w:rsidRPr="00E951F4">
        <w:rPr>
          <w:rFonts w:eastAsiaTheme="minorEastAsia"/>
          <w:sz w:val="26"/>
          <w:szCs w:val="26"/>
        </w:rPr>
        <w:t xml:space="preserve">lan.  </w:t>
      </w:r>
      <w:r w:rsidRPr="00E951F4">
        <w:rPr>
          <w:sz w:val="26"/>
          <w:szCs w:val="26"/>
        </w:rPr>
        <w:t xml:space="preserve">The Company here </w:t>
      </w:r>
      <w:r w:rsidR="000137E2" w:rsidRPr="00E951F4">
        <w:rPr>
          <w:sz w:val="26"/>
          <w:szCs w:val="26"/>
        </w:rPr>
        <w:t xml:space="preserve">is </w:t>
      </w:r>
      <w:r w:rsidRPr="00E951F4">
        <w:rPr>
          <w:sz w:val="26"/>
          <w:szCs w:val="26"/>
        </w:rPr>
        <w:t xml:space="preserve">proposing to acquire a long-term contract for about half of its default service solar AEC requirements. </w:t>
      </w:r>
      <w:r w:rsidR="00D80A57" w:rsidRPr="00E951F4">
        <w:rPr>
          <w:sz w:val="26"/>
          <w:szCs w:val="26"/>
        </w:rPr>
        <w:t xml:space="preserve"> </w:t>
      </w:r>
      <w:r w:rsidRPr="00E951F4">
        <w:rPr>
          <w:sz w:val="26"/>
          <w:szCs w:val="26"/>
        </w:rPr>
        <w:t xml:space="preserve">As noted by the ALJ, the Company is not offering a solar rate or product.  R.D. at 48.  The critical issue at hand is only whether </w:t>
      </w:r>
      <w:r w:rsidR="0095193C" w:rsidRPr="00E951F4">
        <w:rPr>
          <w:sz w:val="26"/>
          <w:szCs w:val="26"/>
        </w:rPr>
        <w:t>this</w:t>
      </w:r>
      <w:r w:rsidRPr="00E951F4">
        <w:rPr>
          <w:sz w:val="26"/>
          <w:szCs w:val="26"/>
        </w:rPr>
        <w:t xml:space="preserve"> long-term </w:t>
      </w:r>
      <w:r w:rsidR="0095193C" w:rsidRPr="00E951F4">
        <w:rPr>
          <w:sz w:val="26"/>
          <w:szCs w:val="26"/>
        </w:rPr>
        <w:t>S</w:t>
      </w:r>
      <w:r w:rsidRPr="00E951F4">
        <w:rPr>
          <w:sz w:val="26"/>
          <w:szCs w:val="26"/>
        </w:rPr>
        <w:t xml:space="preserve">olar PPA is an appropriate component of </w:t>
      </w:r>
      <w:r w:rsidR="0095193C" w:rsidRPr="00E951F4">
        <w:rPr>
          <w:sz w:val="26"/>
          <w:szCs w:val="26"/>
        </w:rPr>
        <w:t>the Company’s</w:t>
      </w:r>
      <w:r w:rsidRPr="00E951F4">
        <w:rPr>
          <w:sz w:val="26"/>
          <w:szCs w:val="26"/>
        </w:rPr>
        <w:t xml:space="preserve"> prudent mix strategy for default service customers. </w:t>
      </w:r>
      <w:r w:rsidR="00DC529B" w:rsidRPr="00E951F4">
        <w:rPr>
          <w:sz w:val="26"/>
          <w:szCs w:val="26"/>
        </w:rPr>
        <w:t xml:space="preserve"> </w:t>
      </w:r>
      <w:r w:rsidRPr="00E951F4">
        <w:rPr>
          <w:sz w:val="26"/>
          <w:szCs w:val="26"/>
        </w:rPr>
        <w:t>As noted by the ALJ, the only argument the EGS Parties make in this regard is that the price under the</w:t>
      </w:r>
      <w:r w:rsidR="0095193C" w:rsidRPr="00E951F4">
        <w:rPr>
          <w:sz w:val="26"/>
          <w:szCs w:val="26"/>
        </w:rPr>
        <w:t xml:space="preserve"> Solar</w:t>
      </w:r>
      <w:r w:rsidRPr="00E951F4">
        <w:rPr>
          <w:sz w:val="26"/>
          <w:szCs w:val="26"/>
        </w:rPr>
        <w:t xml:space="preserve"> PPA may deviate from the </w:t>
      </w:r>
      <w:r w:rsidRPr="00E951F4">
        <w:rPr>
          <w:sz w:val="26"/>
          <w:szCs w:val="26"/>
        </w:rPr>
        <w:lastRenderedPageBreak/>
        <w:t xml:space="preserve">market in some future years.  Given that Act 129 specifically contemplates contracts as long as </w:t>
      </w:r>
      <w:r w:rsidR="00DC529B" w:rsidRPr="00E951F4">
        <w:rPr>
          <w:sz w:val="26"/>
          <w:szCs w:val="26"/>
        </w:rPr>
        <w:t>twenty</w:t>
      </w:r>
      <w:r w:rsidRPr="00E951F4">
        <w:rPr>
          <w:sz w:val="26"/>
          <w:szCs w:val="26"/>
        </w:rPr>
        <w:t xml:space="preserve"> years, this argument </w:t>
      </w:r>
      <w:r w:rsidR="00DC529B" w:rsidRPr="00E951F4">
        <w:rPr>
          <w:sz w:val="26"/>
          <w:szCs w:val="26"/>
        </w:rPr>
        <w:t>does not hold up</w:t>
      </w:r>
      <w:r w:rsidR="00C93FDC" w:rsidRPr="00E951F4">
        <w:rPr>
          <w:sz w:val="26"/>
          <w:szCs w:val="26"/>
        </w:rPr>
        <w:t xml:space="preserve"> well</w:t>
      </w:r>
      <w:r w:rsidRPr="00E951F4">
        <w:rPr>
          <w:sz w:val="26"/>
          <w:szCs w:val="26"/>
        </w:rPr>
        <w:t xml:space="preserve">.  We agree with Duquesne Light that if price variability were a valid basis for objecting, then all long-term contracts should be prohibited.  Such is not the case under the </w:t>
      </w:r>
      <w:r w:rsidR="0095193C" w:rsidRPr="00E951F4">
        <w:rPr>
          <w:sz w:val="26"/>
          <w:szCs w:val="26"/>
        </w:rPr>
        <w:t>Code</w:t>
      </w:r>
      <w:r w:rsidRPr="00E951F4">
        <w:rPr>
          <w:sz w:val="26"/>
          <w:szCs w:val="26"/>
        </w:rPr>
        <w:t xml:space="preserve">.  </w:t>
      </w:r>
    </w:p>
    <w:p w14:paraId="4A799DE5" w14:textId="77777777" w:rsidR="00A66BE0" w:rsidRPr="00E951F4" w:rsidRDefault="00A66BE0" w:rsidP="00E951F4">
      <w:pPr>
        <w:widowControl/>
        <w:kinsoku w:val="0"/>
        <w:overflowPunct w:val="0"/>
        <w:spacing w:line="360" w:lineRule="auto"/>
        <w:ind w:firstLine="1440"/>
        <w:textAlignment w:val="baseline"/>
        <w:rPr>
          <w:rFonts w:eastAsiaTheme="minorEastAsia"/>
          <w:sz w:val="26"/>
          <w:szCs w:val="26"/>
        </w:rPr>
      </w:pPr>
    </w:p>
    <w:p w14:paraId="54730789" w14:textId="2032EB15" w:rsidR="00253740" w:rsidRPr="00E951F4" w:rsidRDefault="0023362C" w:rsidP="00E951F4">
      <w:pPr>
        <w:widowControl/>
        <w:tabs>
          <w:tab w:val="left" w:pos="792"/>
        </w:tabs>
        <w:kinsoku w:val="0"/>
        <w:overflowPunct w:val="0"/>
        <w:spacing w:line="360" w:lineRule="auto"/>
        <w:ind w:firstLine="1440"/>
        <w:textAlignment w:val="baseline"/>
        <w:rPr>
          <w:sz w:val="26"/>
          <w:szCs w:val="26"/>
        </w:rPr>
      </w:pPr>
      <w:r w:rsidRPr="00E951F4">
        <w:rPr>
          <w:sz w:val="26"/>
          <w:szCs w:val="26"/>
        </w:rPr>
        <w:t xml:space="preserve">We </w:t>
      </w:r>
      <w:r w:rsidR="0095193C" w:rsidRPr="00E951F4">
        <w:rPr>
          <w:sz w:val="26"/>
          <w:szCs w:val="26"/>
        </w:rPr>
        <w:t>also agree with the ALJ</w:t>
      </w:r>
      <w:r w:rsidRPr="00E951F4">
        <w:rPr>
          <w:sz w:val="26"/>
          <w:szCs w:val="26"/>
        </w:rPr>
        <w:t xml:space="preserve"> that </w:t>
      </w:r>
      <w:r w:rsidR="00661866" w:rsidRPr="00E951F4">
        <w:rPr>
          <w:sz w:val="26"/>
          <w:szCs w:val="26"/>
        </w:rPr>
        <w:t xml:space="preserve">the Company’s proposal to sell </w:t>
      </w:r>
      <w:r w:rsidRPr="00E951F4">
        <w:rPr>
          <w:sz w:val="26"/>
          <w:szCs w:val="26"/>
        </w:rPr>
        <w:t>the</w:t>
      </w:r>
      <w:r w:rsidR="00661866" w:rsidRPr="00E951F4">
        <w:rPr>
          <w:sz w:val="26"/>
          <w:szCs w:val="26"/>
        </w:rPr>
        <w:t xml:space="preserve"> excess</w:t>
      </w:r>
      <w:r w:rsidRPr="00E951F4">
        <w:rPr>
          <w:sz w:val="26"/>
          <w:szCs w:val="26"/>
        </w:rPr>
        <w:t xml:space="preserve"> energy </w:t>
      </w:r>
      <w:r w:rsidR="00661866" w:rsidRPr="00E951F4">
        <w:rPr>
          <w:sz w:val="26"/>
          <w:szCs w:val="26"/>
        </w:rPr>
        <w:t xml:space="preserve">procured under the Solar PPA </w:t>
      </w:r>
      <w:r w:rsidRPr="00E951F4">
        <w:rPr>
          <w:sz w:val="26"/>
          <w:szCs w:val="26"/>
        </w:rPr>
        <w:t xml:space="preserve">from the solar facility </w:t>
      </w:r>
      <w:r w:rsidR="0095193C" w:rsidRPr="00E951F4">
        <w:rPr>
          <w:sz w:val="26"/>
          <w:szCs w:val="26"/>
        </w:rPr>
        <w:t xml:space="preserve">does not </w:t>
      </w:r>
      <w:r w:rsidRPr="00E951F4">
        <w:rPr>
          <w:sz w:val="26"/>
          <w:szCs w:val="26"/>
        </w:rPr>
        <w:t xml:space="preserve">place the Company back in the generation business. </w:t>
      </w:r>
      <w:r w:rsidR="00C93FDC" w:rsidRPr="00E951F4">
        <w:rPr>
          <w:sz w:val="26"/>
          <w:szCs w:val="26"/>
        </w:rPr>
        <w:t xml:space="preserve"> </w:t>
      </w:r>
      <w:r w:rsidR="0095193C" w:rsidRPr="00E951F4">
        <w:rPr>
          <w:sz w:val="26"/>
          <w:szCs w:val="26"/>
        </w:rPr>
        <w:t xml:space="preserve">Thus, we shall reject the EGS Parties’ contention regarding the same.  </w:t>
      </w:r>
      <w:r w:rsidRPr="00E951F4">
        <w:rPr>
          <w:sz w:val="26"/>
          <w:szCs w:val="26"/>
        </w:rPr>
        <w:t>The Company will not own the solar generating facility</w:t>
      </w:r>
      <w:r w:rsidR="00661866" w:rsidRPr="00E951F4">
        <w:rPr>
          <w:sz w:val="26"/>
          <w:szCs w:val="26"/>
        </w:rPr>
        <w:t xml:space="preserve">; instead, as the purchaser in the Solar PPA, Duquesne Light will procure both energy and solar AECs from the </w:t>
      </w:r>
      <w:r w:rsidR="00253740" w:rsidRPr="00E951F4">
        <w:rPr>
          <w:sz w:val="26"/>
          <w:szCs w:val="26"/>
        </w:rPr>
        <w:t xml:space="preserve">seller – that is, the </w:t>
      </w:r>
      <w:r w:rsidR="00661866" w:rsidRPr="00E951F4">
        <w:rPr>
          <w:sz w:val="26"/>
          <w:szCs w:val="26"/>
        </w:rPr>
        <w:t xml:space="preserve">developer </w:t>
      </w:r>
      <w:r w:rsidR="00253740" w:rsidRPr="00E951F4">
        <w:rPr>
          <w:sz w:val="26"/>
          <w:szCs w:val="26"/>
        </w:rPr>
        <w:t>who</w:t>
      </w:r>
      <w:r w:rsidR="00661866" w:rsidRPr="00E951F4">
        <w:rPr>
          <w:sz w:val="26"/>
          <w:szCs w:val="26"/>
        </w:rPr>
        <w:t xml:space="preserve"> owns the </w:t>
      </w:r>
      <w:r w:rsidR="00253740" w:rsidRPr="00E951F4">
        <w:rPr>
          <w:sz w:val="26"/>
          <w:szCs w:val="26"/>
        </w:rPr>
        <w:t xml:space="preserve">solar </w:t>
      </w:r>
      <w:r w:rsidR="00661866" w:rsidRPr="00E951F4">
        <w:rPr>
          <w:sz w:val="26"/>
          <w:szCs w:val="26"/>
        </w:rPr>
        <w:t>facility</w:t>
      </w:r>
      <w:r w:rsidR="00253740" w:rsidRPr="00E951F4">
        <w:rPr>
          <w:sz w:val="26"/>
          <w:szCs w:val="26"/>
        </w:rPr>
        <w:t xml:space="preserve"> –</w:t>
      </w:r>
      <w:r w:rsidR="00661866" w:rsidRPr="00E951F4">
        <w:rPr>
          <w:sz w:val="26"/>
          <w:szCs w:val="26"/>
        </w:rPr>
        <w:t xml:space="preserve"> to meet the demand</w:t>
      </w:r>
      <w:r w:rsidR="00253740" w:rsidRPr="00E951F4">
        <w:rPr>
          <w:sz w:val="26"/>
          <w:szCs w:val="26"/>
        </w:rPr>
        <w:t xml:space="preserve"> levels</w:t>
      </w:r>
      <w:r w:rsidR="00661866" w:rsidRPr="00E951F4">
        <w:rPr>
          <w:sz w:val="26"/>
          <w:szCs w:val="26"/>
        </w:rPr>
        <w:t xml:space="preserve"> of </w:t>
      </w:r>
      <w:r w:rsidR="00253740" w:rsidRPr="00E951F4">
        <w:rPr>
          <w:sz w:val="26"/>
          <w:szCs w:val="26"/>
        </w:rPr>
        <w:t xml:space="preserve">its </w:t>
      </w:r>
      <w:r w:rsidR="00661866" w:rsidRPr="00E951F4">
        <w:rPr>
          <w:sz w:val="26"/>
          <w:szCs w:val="26"/>
        </w:rPr>
        <w:t>default service customer</w:t>
      </w:r>
      <w:r w:rsidRPr="00E951F4">
        <w:rPr>
          <w:sz w:val="26"/>
          <w:szCs w:val="26"/>
        </w:rPr>
        <w:t xml:space="preserve">. </w:t>
      </w:r>
      <w:r w:rsidR="00C93FDC" w:rsidRPr="00E951F4">
        <w:rPr>
          <w:sz w:val="26"/>
          <w:szCs w:val="26"/>
        </w:rPr>
        <w:t xml:space="preserve"> </w:t>
      </w:r>
      <w:r w:rsidR="00661866" w:rsidRPr="00E951F4">
        <w:rPr>
          <w:sz w:val="26"/>
          <w:szCs w:val="26"/>
        </w:rPr>
        <w:t xml:space="preserve">Should the energy procured under the </w:t>
      </w:r>
      <w:r w:rsidR="00253740" w:rsidRPr="00E951F4">
        <w:rPr>
          <w:sz w:val="26"/>
          <w:szCs w:val="26"/>
        </w:rPr>
        <w:t>S</w:t>
      </w:r>
      <w:r w:rsidR="00661866" w:rsidRPr="00E951F4">
        <w:rPr>
          <w:sz w:val="26"/>
          <w:szCs w:val="26"/>
        </w:rPr>
        <w:t xml:space="preserve">olar PPA exceed the demands of </w:t>
      </w:r>
      <w:r w:rsidR="00253740" w:rsidRPr="00E951F4">
        <w:rPr>
          <w:sz w:val="26"/>
          <w:szCs w:val="26"/>
        </w:rPr>
        <w:t xml:space="preserve">its </w:t>
      </w:r>
      <w:r w:rsidR="00661866" w:rsidRPr="00E951F4">
        <w:rPr>
          <w:sz w:val="26"/>
          <w:szCs w:val="26"/>
        </w:rPr>
        <w:t xml:space="preserve">default service customers, the Company proposes to sell the excess energy into the wholesale market.  By selling any excess energy, the Company </w:t>
      </w:r>
      <w:r w:rsidRPr="00E951F4">
        <w:rPr>
          <w:sz w:val="26"/>
          <w:szCs w:val="26"/>
        </w:rPr>
        <w:t xml:space="preserve">is simply seeking to employ a process to balance supply and demand and obtain for default service customers additional value from the </w:t>
      </w:r>
      <w:r w:rsidR="00767197" w:rsidRPr="00E951F4">
        <w:rPr>
          <w:sz w:val="26"/>
          <w:szCs w:val="26"/>
        </w:rPr>
        <w:t>S</w:t>
      </w:r>
      <w:r w:rsidRPr="00E951F4">
        <w:rPr>
          <w:sz w:val="26"/>
          <w:szCs w:val="26"/>
        </w:rPr>
        <w:t>olar PPA.  Notably, the Commission previously has permitted a Default Service Supplier to sell excess energy into the market when default service supply purchased under a block product exceed</w:t>
      </w:r>
      <w:r w:rsidR="00661866" w:rsidRPr="00E951F4">
        <w:rPr>
          <w:sz w:val="26"/>
          <w:szCs w:val="26"/>
        </w:rPr>
        <w:t>ed</w:t>
      </w:r>
      <w:r w:rsidRPr="00E951F4">
        <w:rPr>
          <w:sz w:val="26"/>
          <w:szCs w:val="26"/>
        </w:rPr>
        <w:t xml:space="preserve"> the demands of default service customers. </w:t>
      </w:r>
      <w:r w:rsidR="00E93FDE" w:rsidRPr="00E951F4">
        <w:rPr>
          <w:sz w:val="26"/>
          <w:szCs w:val="26"/>
        </w:rPr>
        <w:t xml:space="preserve"> </w:t>
      </w:r>
      <w:r w:rsidR="008B2BC3" w:rsidRPr="00E951F4">
        <w:rPr>
          <w:rFonts w:eastAsiaTheme="minorEastAsia"/>
          <w:i/>
          <w:iCs/>
          <w:sz w:val="26"/>
          <w:szCs w:val="26"/>
        </w:rPr>
        <w:t xml:space="preserve">PECO Energy 2009 Order </w:t>
      </w:r>
      <w:r w:rsidRPr="00E951F4">
        <w:rPr>
          <w:rFonts w:eastAsiaTheme="minorEastAsia"/>
          <w:sz w:val="26"/>
          <w:szCs w:val="26"/>
        </w:rPr>
        <w:t>at 6-7, 9; Duquesne Light R.B. at</w:t>
      </w:r>
      <w:r w:rsidR="00171FD8">
        <w:rPr>
          <w:rFonts w:eastAsiaTheme="minorEastAsia"/>
          <w:sz w:val="26"/>
          <w:szCs w:val="26"/>
        </w:rPr>
        <w:t> </w:t>
      </w:r>
      <w:r w:rsidRPr="00E951F4">
        <w:rPr>
          <w:rFonts w:eastAsiaTheme="minorEastAsia"/>
          <w:sz w:val="26"/>
          <w:szCs w:val="26"/>
        </w:rPr>
        <w:t xml:space="preserve">11.  </w:t>
      </w:r>
      <w:r w:rsidR="00661866" w:rsidRPr="00E951F4">
        <w:rPr>
          <w:rFonts w:eastAsiaTheme="minorEastAsia"/>
          <w:sz w:val="26"/>
          <w:szCs w:val="26"/>
        </w:rPr>
        <w:t>Thus, an EDC’s s</w:t>
      </w:r>
      <w:r w:rsidRPr="00E951F4">
        <w:rPr>
          <w:sz w:val="26"/>
          <w:szCs w:val="26"/>
        </w:rPr>
        <w:t xml:space="preserve">ale of </w:t>
      </w:r>
      <w:r w:rsidR="00661866" w:rsidRPr="00E951F4">
        <w:rPr>
          <w:sz w:val="26"/>
          <w:szCs w:val="26"/>
        </w:rPr>
        <w:t xml:space="preserve">excess </w:t>
      </w:r>
      <w:r w:rsidRPr="00E951F4">
        <w:rPr>
          <w:sz w:val="26"/>
          <w:szCs w:val="26"/>
        </w:rPr>
        <w:t xml:space="preserve">energy </w:t>
      </w:r>
      <w:r w:rsidR="00661866" w:rsidRPr="00E951F4">
        <w:rPr>
          <w:sz w:val="26"/>
          <w:szCs w:val="26"/>
        </w:rPr>
        <w:t xml:space="preserve">that was </w:t>
      </w:r>
      <w:r w:rsidRPr="00E951F4">
        <w:rPr>
          <w:sz w:val="26"/>
          <w:szCs w:val="26"/>
        </w:rPr>
        <w:t xml:space="preserve">purchased to serve default service load </w:t>
      </w:r>
      <w:r w:rsidR="00661866" w:rsidRPr="00E951F4">
        <w:rPr>
          <w:sz w:val="26"/>
          <w:szCs w:val="26"/>
        </w:rPr>
        <w:t>is</w:t>
      </w:r>
      <w:r w:rsidRPr="00E951F4">
        <w:rPr>
          <w:sz w:val="26"/>
          <w:szCs w:val="26"/>
        </w:rPr>
        <w:t xml:space="preserve"> not prohibited by the </w:t>
      </w:r>
      <w:r w:rsidR="00F15A65" w:rsidRPr="00E951F4">
        <w:rPr>
          <w:sz w:val="26"/>
          <w:szCs w:val="26"/>
        </w:rPr>
        <w:t>Competition Act</w:t>
      </w:r>
      <w:r w:rsidRPr="00E951F4">
        <w:rPr>
          <w:sz w:val="26"/>
          <w:szCs w:val="26"/>
        </w:rPr>
        <w:t xml:space="preserve">, as contended by the EGS Parties.  </w:t>
      </w:r>
    </w:p>
    <w:p w14:paraId="7434205D" w14:textId="77777777" w:rsidR="001B40DD" w:rsidRPr="00E951F4" w:rsidRDefault="001B40DD" w:rsidP="00E951F4">
      <w:pPr>
        <w:widowControl/>
        <w:tabs>
          <w:tab w:val="left" w:pos="792"/>
        </w:tabs>
        <w:kinsoku w:val="0"/>
        <w:overflowPunct w:val="0"/>
        <w:spacing w:line="360" w:lineRule="auto"/>
        <w:ind w:firstLine="1440"/>
        <w:textAlignment w:val="baseline"/>
        <w:rPr>
          <w:sz w:val="26"/>
          <w:szCs w:val="26"/>
        </w:rPr>
      </w:pPr>
    </w:p>
    <w:p w14:paraId="68B0104A" w14:textId="4906B851" w:rsidR="0023362C" w:rsidRPr="00E951F4" w:rsidRDefault="0023362C" w:rsidP="00E951F4">
      <w:pPr>
        <w:widowControl/>
        <w:tabs>
          <w:tab w:val="left" w:pos="792"/>
        </w:tabs>
        <w:kinsoku w:val="0"/>
        <w:overflowPunct w:val="0"/>
        <w:spacing w:line="360" w:lineRule="auto"/>
        <w:ind w:firstLine="1440"/>
        <w:textAlignment w:val="baseline"/>
        <w:rPr>
          <w:sz w:val="26"/>
          <w:szCs w:val="26"/>
        </w:rPr>
      </w:pPr>
      <w:r w:rsidRPr="00E951F4">
        <w:rPr>
          <w:sz w:val="26"/>
          <w:szCs w:val="26"/>
        </w:rPr>
        <w:t xml:space="preserve">The ALJ observed that the critical requirement under the AEPS Act is for the EDC to obtain requisite AECs. </w:t>
      </w:r>
      <w:r w:rsidR="008B2BC3" w:rsidRPr="00E951F4">
        <w:rPr>
          <w:sz w:val="26"/>
          <w:szCs w:val="26"/>
        </w:rPr>
        <w:t xml:space="preserve"> </w:t>
      </w:r>
      <w:r w:rsidRPr="00E951F4">
        <w:rPr>
          <w:sz w:val="26"/>
          <w:szCs w:val="26"/>
        </w:rPr>
        <w:t xml:space="preserve">Duquesne Light’s plan here to procure a </w:t>
      </w:r>
      <w:r w:rsidR="005830D7" w:rsidRPr="00E951F4">
        <w:rPr>
          <w:sz w:val="26"/>
          <w:szCs w:val="26"/>
        </w:rPr>
        <w:t xml:space="preserve">seven </w:t>
      </w:r>
      <w:r w:rsidRPr="00E951F4">
        <w:rPr>
          <w:sz w:val="26"/>
          <w:szCs w:val="26"/>
        </w:rPr>
        <w:t xml:space="preserve">MW long-term solar contract is expected to secure slightly more than 50% of the required solar AECs on a long-term basis to achieve the desired result.  As aptly noted by the ALJ, in its last DSP proceeding, DSP VIII, Duquesne Light sought a PPA to purchase only SAECs.  Unfortunately, it found that solar developers were not interested in disaggregating the credits from the energy supply.  The proposed </w:t>
      </w:r>
      <w:r w:rsidR="00501EA2" w:rsidRPr="00E951F4">
        <w:rPr>
          <w:sz w:val="26"/>
          <w:szCs w:val="26"/>
        </w:rPr>
        <w:t>S</w:t>
      </w:r>
      <w:r w:rsidRPr="00E951F4">
        <w:rPr>
          <w:sz w:val="26"/>
          <w:szCs w:val="26"/>
        </w:rPr>
        <w:t xml:space="preserve">olar PPA in this case </w:t>
      </w:r>
      <w:r w:rsidRPr="00E951F4">
        <w:rPr>
          <w:sz w:val="26"/>
          <w:szCs w:val="26"/>
        </w:rPr>
        <w:lastRenderedPageBreak/>
        <w:t xml:space="preserve">is therefore designed to resolve that problem and provide long-term solar AECs required by the </w:t>
      </w:r>
      <w:r w:rsidR="00F15A65" w:rsidRPr="00E951F4">
        <w:rPr>
          <w:sz w:val="26"/>
          <w:szCs w:val="26"/>
        </w:rPr>
        <w:t>Competition Act</w:t>
      </w:r>
      <w:r w:rsidRPr="00E951F4">
        <w:rPr>
          <w:sz w:val="26"/>
          <w:szCs w:val="26"/>
        </w:rPr>
        <w:t xml:space="preserve"> for default service customers. </w:t>
      </w:r>
      <w:r w:rsidR="008B2BC3" w:rsidRPr="00E951F4">
        <w:rPr>
          <w:sz w:val="26"/>
          <w:szCs w:val="26"/>
        </w:rPr>
        <w:t xml:space="preserve"> </w:t>
      </w:r>
      <w:r w:rsidRPr="00E951F4">
        <w:rPr>
          <w:sz w:val="26"/>
          <w:szCs w:val="26"/>
        </w:rPr>
        <w:t>R.D. at 49.</w:t>
      </w:r>
    </w:p>
    <w:p w14:paraId="456DDCF8" w14:textId="77777777" w:rsidR="0023362C" w:rsidRPr="00E951F4" w:rsidRDefault="0023362C" w:rsidP="00E951F4">
      <w:pPr>
        <w:widowControl/>
        <w:tabs>
          <w:tab w:val="left" w:pos="792"/>
        </w:tabs>
        <w:kinsoku w:val="0"/>
        <w:overflowPunct w:val="0"/>
        <w:spacing w:line="360" w:lineRule="auto"/>
        <w:ind w:firstLine="1440"/>
        <w:textAlignment w:val="baseline"/>
        <w:rPr>
          <w:sz w:val="26"/>
          <w:szCs w:val="26"/>
        </w:rPr>
      </w:pPr>
    </w:p>
    <w:p w14:paraId="22C2FA20" w14:textId="6E7FF870" w:rsidR="0023362C" w:rsidRPr="00E951F4" w:rsidRDefault="0023362C" w:rsidP="00E951F4">
      <w:pPr>
        <w:widowControl/>
        <w:tabs>
          <w:tab w:val="left" w:pos="792"/>
        </w:tabs>
        <w:kinsoku w:val="0"/>
        <w:overflowPunct w:val="0"/>
        <w:spacing w:line="360" w:lineRule="auto"/>
        <w:ind w:firstLine="1440"/>
        <w:textAlignment w:val="baseline"/>
        <w:rPr>
          <w:sz w:val="26"/>
          <w:szCs w:val="26"/>
        </w:rPr>
      </w:pPr>
      <w:r w:rsidRPr="00E951F4">
        <w:rPr>
          <w:sz w:val="26"/>
          <w:szCs w:val="26"/>
        </w:rPr>
        <w:t xml:space="preserve">The EGS Parties also contend that capacity from the </w:t>
      </w:r>
      <w:r w:rsidR="00501EA2" w:rsidRPr="00E951F4">
        <w:rPr>
          <w:sz w:val="26"/>
          <w:szCs w:val="26"/>
        </w:rPr>
        <w:t>S</w:t>
      </w:r>
      <w:r w:rsidRPr="00E951F4">
        <w:rPr>
          <w:sz w:val="26"/>
          <w:szCs w:val="26"/>
        </w:rPr>
        <w:t xml:space="preserve">olar PPA if sold into PJM would potentially make Duquesne Light subject to FERC’s proposed MOPR. </w:t>
      </w:r>
      <w:r w:rsidR="00F70989" w:rsidRPr="00E951F4">
        <w:rPr>
          <w:sz w:val="26"/>
          <w:szCs w:val="26"/>
        </w:rPr>
        <w:t xml:space="preserve"> </w:t>
      </w:r>
      <w:r w:rsidRPr="00E951F4">
        <w:rPr>
          <w:sz w:val="26"/>
          <w:szCs w:val="26"/>
        </w:rPr>
        <w:t xml:space="preserve">The Company has indicated that it is not committed to acquiring capacity and it would not enter into a solar PPA, or acquire or sell capacity, if doing so would subject it to the rule ultimately adopted.  Nevertheless, we shall not speculate here about an as-yet unconcluded proceeding or base our decision on conjecture. </w:t>
      </w:r>
      <w:r w:rsidR="00116088" w:rsidRPr="00E951F4">
        <w:rPr>
          <w:sz w:val="26"/>
          <w:szCs w:val="26"/>
        </w:rPr>
        <w:t xml:space="preserve"> </w:t>
      </w:r>
      <w:r w:rsidR="00116088" w:rsidRPr="00E951F4">
        <w:rPr>
          <w:i/>
          <w:iCs/>
          <w:sz w:val="26"/>
          <w:szCs w:val="26"/>
        </w:rPr>
        <w:t>See</w:t>
      </w:r>
      <w:r w:rsidR="00116088" w:rsidRPr="00E951F4">
        <w:rPr>
          <w:sz w:val="26"/>
          <w:szCs w:val="26"/>
        </w:rPr>
        <w:t xml:space="preserve"> </w:t>
      </w:r>
      <w:r w:rsidRPr="00E951F4">
        <w:rPr>
          <w:sz w:val="26"/>
          <w:szCs w:val="26"/>
        </w:rPr>
        <w:t xml:space="preserve">R.D. at 49-50.  </w:t>
      </w:r>
    </w:p>
    <w:p w14:paraId="2D0263E9" w14:textId="77777777" w:rsidR="0023362C" w:rsidRPr="00E951F4" w:rsidRDefault="0023362C" w:rsidP="00E951F4">
      <w:pPr>
        <w:widowControl/>
        <w:tabs>
          <w:tab w:val="left" w:pos="792"/>
        </w:tabs>
        <w:kinsoku w:val="0"/>
        <w:overflowPunct w:val="0"/>
        <w:spacing w:line="360" w:lineRule="auto"/>
        <w:ind w:firstLine="1440"/>
        <w:textAlignment w:val="baseline"/>
        <w:rPr>
          <w:sz w:val="26"/>
          <w:szCs w:val="26"/>
        </w:rPr>
      </w:pPr>
    </w:p>
    <w:p w14:paraId="4FBFA3A8" w14:textId="0ECA75C4" w:rsidR="0023362C" w:rsidRPr="00E951F4" w:rsidRDefault="0023362C" w:rsidP="00E951F4">
      <w:pPr>
        <w:widowControl/>
        <w:tabs>
          <w:tab w:val="left" w:pos="792"/>
        </w:tabs>
        <w:kinsoku w:val="0"/>
        <w:overflowPunct w:val="0"/>
        <w:spacing w:line="360" w:lineRule="auto"/>
        <w:ind w:firstLine="1440"/>
        <w:textAlignment w:val="baseline"/>
        <w:rPr>
          <w:sz w:val="26"/>
          <w:szCs w:val="26"/>
        </w:rPr>
      </w:pPr>
      <w:r w:rsidRPr="00E951F4">
        <w:rPr>
          <w:sz w:val="26"/>
          <w:szCs w:val="26"/>
        </w:rPr>
        <w:t xml:space="preserve">The EGS Parties </w:t>
      </w:r>
      <w:r w:rsidR="003B2B7E" w:rsidRPr="00E951F4">
        <w:rPr>
          <w:sz w:val="26"/>
          <w:szCs w:val="26"/>
        </w:rPr>
        <w:t>further</w:t>
      </w:r>
      <w:r w:rsidRPr="00E951F4">
        <w:rPr>
          <w:sz w:val="26"/>
          <w:szCs w:val="26"/>
        </w:rPr>
        <w:t xml:space="preserve"> contend that the long-term contract could outlive the Company’s DSP IX and even subsequent default service plans, presenting the possibility that Duquesne Light could no longer be the default service provider.  </w:t>
      </w:r>
      <w:r w:rsidR="00116088" w:rsidRPr="00E951F4">
        <w:rPr>
          <w:sz w:val="26"/>
          <w:szCs w:val="26"/>
        </w:rPr>
        <w:t xml:space="preserve">The </w:t>
      </w:r>
      <w:r w:rsidRPr="00E951F4">
        <w:rPr>
          <w:sz w:val="26"/>
          <w:szCs w:val="26"/>
        </w:rPr>
        <w:t xml:space="preserve">EGS Parties posit that the costs of such a contract could become stranded or be used as an excuse why a new default service provider should not be approved.  We agree with the ALJ that </w:t>
      </w:r>
      <w:r w:rsidR="00116088" w:rsidRPr="00E951F4">
        <w:rPr>
          <w:sz w:val="26"/>
          <w:szCs w:val="26"/>
        </w:rPr>
        <w:t xml:space="preserve">the </w:t>
      </w:r>
      <w:r w:rsidRPr="00E951F4">
        <w:rPr>
          <w:sz w:val="26"/>
          <w:szCs w:val="26"/>
        </w:rPr>
        <w:t>OCA’s procurement witness Dr. Ogur has the better of the argument when he observes that the contractual obligations could be transferred to a new default service provider if one were to be approved, and Pennsylvania EDCs as default service providers routinely enter into power supply contracts (which are approved by the Commission) that extend beyond the end date of the default service plan period to mitigate price shock risk at the start of a new default service plan period.  R.D. at 50.</w:t>
      </w:r>
    </w:p>
    <w:p w14:paraId="08149BED" w14:textId="77777777" w:rsidR="001B40DD" w:rsidRPr="00E951F4" w:rsidRDefault="001B40DD" w:rsidP="00E951F4">
      <w:pPr>
        <w:widowControl/>
        <w:tabs>
          <w:tab w:val="left" w:pos="792"/>
        </w:tabs>
        <w:kinsoku w:val="0"/>
        <w:overflowPunct w:val="0"/>
        <w:spacing w:line="360" w:lineRule="auto"/>
        <w:ind w:firstLine="1440"/>
        <w:textAlignment w:val="baseline"/>
        <w:rPr>
          <w:sz w:val="26"/>
          <w:szCs w:val="26"/>
        </w:rPr>
      </w:pPr>
    </w:p>
    <w:p w14:paraId="6DCD248A" w14:textId="5C715061" w:rsidR="0023362C" w:rsidRPr="00E951F4" w:rsidRDefault="0023362C" w:rsidP="00E951F4">
      <w:pPr>
        <w:widowControl/>
        <w:tabs>
          <w:tab w:val="left" w:pos="792"/>
        </w:tabs>
        <w:kinsoku w:val="0"/>
        <w:overflowPunct w:val="0"/>
        <w:spacing w:line="360" w:lineRule="auto"/>
        <w:ind w:firstLine="1440"/>
        <w:textAlignment w:val="baseline"/>
        <w:rPr>
          <w:sz w:val="26"/>
          <w:szCs w:val="26"/>
        </w:rPr>
      </w:pPr>
      <w:r w:rsidRPr="00E951F4">
        <w:rPr>
          <w:sz w:val="26"/>
          <w:szCs w:val="26"/>
        </w:rPr>
        <w:t xml:space="preserve">The EGS Parties also contend unconvincingly that a </w:t>
      </w:r>
      <w:r w:rsidR="00501EA2" w:rsidRPr="00E951F4">
        <w:rPr>
          <w:sz w:val="26"/>
          <w:szCs w:val="26"/>
        </w:rPr>
        <w:t>seven</w:t>
      </w:r>
      <w:r w:rsidRPr="00E951F4">
        <w:rPr>
          <w:sz w:val="26"/>
          <w:szCs w:val="26"/>
        </w:rPr>
        <w:t xml:space="preserve"> MW solar contract could crowd out other solar contracts in the PJM market.  The record is clear that with over 269 solar projects in the PJM interconnection queue, representing more than 9,000 MW, it is not likely that this contract will have a measurably deleterious impact.  Moreover, as emphasized by the ALJ, the EGS Parties’ witness Mr. Kallaher admitted in discovery that he was not aware of any specific potential solar projects that might be displaced by the Company’s proposed </w:t>
      </w:r>
      <w:r w:rsidR="00165568" w:rsidRPr="00E951F4">
        <w:rPr>
          <w:sz w:val="26"/>
          <w:szCs w:val="26"/>
        </w:rPr>
        <w:t>S</w:t>
      </w:r>
      <w:r w:rsidRPr="00E951F4">
        <w:rPr>
          <w:sz w:val="26"/>
          <w:szCs w:val="26"/>
        </w:rPr>
        <w:t xml:space="preserve">olar PPA.  </w:t>
      </w:r>
      <w:r w:rsidRPr="00E951F4">
        <w:rPr>
          <w:rFonts w:eastAsiaTheme="minorEastAsia"/>
          <w:sz w:val="26"/>
          <w:szCs w:val="26"/>
        </w:rPr>
        <w:t xml:space="preserve">Duquesne Light St. 1-R at 3-4; </w:t>
      </w:r>
      <w:r w:rsidRPr="00E951F4">
        <w:rPr>
          <w:rFonts w:eastAsiaTheme="minorEastAsia"/>
          <w:sz w:val="26"/>
          <w:szCs w:val="26"/>
        </w:rPr>
        <w:lastRenderedPageBreak/>
        <w:t>Duquesne Light R.B. at 13</w:t>
      </w:r>
      <w:r w:rsidR="00BF63E0" w:rsidRPr="00E951F4">
        <w:rPr>
          <w:rFonts w:eastAsiaTheme="minorEastAsia"/>
          <w:sz w:val="26"/>
          <w:szCs w:val="26"/>
        </w:rPr>
        <w:t>;</w:t>
      </w:r>
      <w:r w:rsidRPr="00E951F4">
        <w:rPr>
          <w:rFonts w:eastAsiaTheme="minorEastAsia"/>
          <w:sz w:val="26"/>
          <w:szCs w:val="26"/>
        </w:rPr>
        <w:t xml:space="preserve"> R.D. at 50.</w:t>
      </w:r>
      <w:r w:rsidR="008A2BFD" w:rsidRPr="00E951F4">
        <w:rPr>
          <w:rFonts w:eastAsiaTheme="minorEastAsia"/>
          <w:sz w:val="26"/>
          <w:szCs w:val="26"/>
        </w:rPr>
        <w:t xml:space="preserve">  </w:t>
      </w:r>
      <w:r w:rsidRPr="00E951F4">
        <w:rPr>
          <w:sz w:val="26"/>
          <w:szCs w:val="26"/>
        </w:rPr>
        <w:t>The EGS Parties also argue that the Solar PPA is a direct assault on efforts to enact Community Solar initiatives.  There is no record support for this contention</w:t>
      </w:r>
      <w:r w:rsidR="00171FD8">
        <w:rPr>
          <w:sz w:val="26"/>
          <w:szCs w:val="26"/>
        </w:rPr>
        <w:t>,</w:t>
      </w:r>
      <w:r w:rsidRPr="00E951F4">
        <w:rPr>
          <w:sz w:val="26"/>
          <w:szCs w:val="26"/>
        </w:rPr>
        <w:t xml:space="preserve"> and we reject it as specious.  R.D. at 51.</w:t>
      </w:r>
    </w:p>
    <w:p w14:paraId="171E19C1" w14:textId="77777777" w:rsidR="00937F87" w:rsidRPr="00E951F4" w:rsidRDefault="00937F87" w:rsidP="00E951F4">
      <w:pPr>
        <w:widowControl/>
        <w:tabs>
          <w:tab w:val="left" w:pos="792"/>
        </w:tabs>
        <w:kinsoku w:val="0"/>
        <w:overflowPunct w:val="0"/>
        <w:spacing w:line="360" w:lineRule="auto"/>
        <w:ind w:firstLine="1440"/>
        <w:textAlignment w:val="baseline"/>
        <w:rPr>
          <w:sz w:val="26"/>
          <w:szCs w:val="26"/>
        </w:rPr>
      </w:pPr>
    </w:p>
    <w:p w14:paraId="71FFBB97" w14:textId="73B33A7D"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sz w:val="26"/>
          <w:szCs w:val="26"/>
        </w:rPr>
        <w:t>With regard to MAREC’s proposal to employ an “all-resource Request for Proposals followed by Integrated Resource Modelling to determine the least-cost mix of resources that meet the Company’s other requirements including its AECs obligation”, we determine that, not only does it not address requirements for Commission approval in its presentation, it</w:t>
      </w:r>
      <w:r w:rsidR="00E024FB" w:rsidRPr="00E951F4">
        <w:rPr>
          <w:sz w:val="26"/>
          <w:szCs w:val="26"/>
        </w:rPr>
        <w:t xml:space="preserve"> </w:t>
      </w:r>
      <w:r w:rsidRPr="00E951F4">
        <w:rPr>
          <w:sz w:val="26"/>
          <w:szCs w:val="26"/>
        </w:rPr>
        <w:t xml:space="preserve">is </w:t>
      </w:r>
      <w:r w:rsidR="00E024FB" w:rsidRPr="00E951F4">
        <w:rPr>
          <w:sz w:val="26"/>
          <w:szCs w:val="26"/>
        </w:rPr>
        <w:t xml:space="preserve">also </w:t>
      </w:r>
      <w:r w:rsidRPr="00E951F4">
        <w:rPr>
          <w:sz w:val="26"/>
          <w:szCs w:val="26"/>
        </w:rPr>
        <w:t>vague and lacks the necessary specificity for it to be adopted.  R.D. at 48.  MAREC’s offering is devoid of crucial details, such as the RFP design, the types of eligible resources, the products that would be solicited, the contract terms, the basis for selection of the winning bidders, how definitional differences between the different types of products would be considered, or how the process would be designed and implemented before the start of DSP IX on June 1, 2021.  R.D. at 48.  We agree with the ALJ’s assessment that t</w:t>
      </w:r>
      <w:r w:rsidRPr="00E951F4">
        <w:rPr>
          <w:rFonts w:eastAsiaTheme="minorEastAsia"/>
          <w:sz w:val="26"/>
          <w:szCs w:val="26"/>
        </w:rPr>
        <w:t>he evidence presented by MAREC in this proceeding does not justify a change in the DSP proposed by Duquesne Light.</w:t>
      </w:r>
    </w:p>
    <w:p w14:paraId="344AF1EC" w14:textId="77777777" w:rsidR="00D653C6" w:rsidRPr="00E951F4" w:rsidRDefault="00D653C6" w:rsidP="00E951F4">
      <w:pPr>
        <w:widowControl/>
        <w:kinsoku w:val="0"/>
        <w:overflowPunct w:val="0"/>
        <w:spacing w:line="360" w:lineRule="auto"/>
        <w:ind w:firstLine="1440"/>
        <w:textAlignment w:val="baseline"/>
        <w:rPr>
          <w:rFonts w:eastAsiaTheme="minorEastAsia"/>
          <w:sz w:val="26"/>
          <w:szCs w:val="26"/>
        </w:rPr>
      </w:pPr>
    </w:p>
    <w:p w14:paraId="7ACC7AA0" w14:textId="03D1EA4E" w:rsidR="0023362C" w:rsidRPr="00E951F4" w:rsidRDefault="00D653C6"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I</w:t>
      </w:r>
      <w:r w:rsidR="0023362C" w:rsidRPr="00E951F4">
        <w:rPr>
          <w:rFonts w:eastAsiaTheme="minorEastAsia"/>
          <w:sz w:val="26"/>
          <w:szCs w:val="26"/>
        </w:rPr>
        <w:t xml:space="preserve">n addition, MAREC continues to propose a collaboration on long-term contracts with a possibility for requesting to reopen this DSP IX proceeding to change the plan. </w:t>
      </w:r>
      <w:r w:rsidR="00F63DBC" w:rsidRPr="00E951F4">
        <w:rPr>
          <w:rFonts w:eastAsiaTheme="minorEastAsia"/>
          <w:sz w:val="26"/>
          <w:szCs w:val="26"/>
        </w:rPr>
        <w:t xml:space="preserve"> </w:t>
      </w:r>
      <w:r w:rsidR="0023362C" w:rsidRPr="00E951F4">
        <w:rPr>
          <w:rFonts w:eastAsiaTheme="minorEastAsia"/>
          <w:sz w:val="26"/>
          <w:szCs w:val="26"/>
        </w:rPr>
        <w:t xml:space="preserve">We must conclude, as did the ALJ, that there is no basis to believe that further consideration of additional long-term renewable contracts would provide a basis for reconsideration of the supply mix ultimately approved by the Commission in this case. </w:t>
      </w:r>
      <w:r w:rsidR="000E7478" w:rsidRPr="00E951F4">
        <w:rPr>
          <w:rFonts w:eastAsiaTheme="minorEastAsia"/>
          <w:sz w:val="26"/>
          <w:szCs w:val="26"/>
        </w:rPr>
        <w:t xml:space="preserve"> </w:t>
      </w:r>
      <w:r w:rsidR="00F63DBC" w:rsidRPr="00E951F4">
        <w:rPr>
          <w:rFonts w:eastAsiaTheme="minorEastAsia"/>
          <w:i/>
          <w:iCs/>
          <w:sz w:val="26"/>
          <w:szCs w:val="26"/>
        </w:rPr>
        <w:t>See</w:t>
      </w:r>
      <w:r w:rsidR="00F63DBC" w:rsidRPr="00E951F4">
        <w:rPr>
          <w:rFonts w:eastAsiaTheme="minorEastAsia"/>
          <w:sz w:val="26"/>
          <w:szCs w:val="26"/>
        </w:rPr>
        <w:t xml:space="preserve"> </w:t>
      </w:r>
      <w:r w:rsidR="0023362C" w:rsidRPr="00E951F4">
        <w:rPr>
          <w:rFonts w:eastAsiaTheme="minorEastAsia"/>
          <w:sz w:val="26"/>
          <w:szCs w:val="26"/>
        </w:rPr>
        <w:t xml:space="preserve">R.D. at 48.  There is no need to conduct a collaborative before going forward with the </w:t>
      </w:r>
      <w:r w:rsidR="003B3777" w:rsidRPr="00E951F4">
        <w:rPr>
          <w:rFonts w:eastAsiaTheme="minorEastAsia"/>
          <w:sz w:val="26"/>
          <w:szCs w:val="26"/>
        </w:rPr>
        <w:t>S</w:t>
      </w:r>
      <w:r w:rsidR="0023362C" w:rsidRPr="00E951F4">
        <w:rPr>
          <w:rFonts w:eastAsiaTheme="minorEastAsia"/>
          <w:sz w:val="26"/>
          <w:szCs w:val="26"/>
        </w:rPr>
        <w:t xml:space="preserve">olar PPA proposal.  As explained by Mr. Davis, before executing </w:t>
      </w:r>
      <w:r w:rsidR="003B3777" w:rsidRPr="00E951F4">
        <w:rPr>
          <w:rFonts w:eastAsiaTheme="minorEastAsia"/>
          <w:sz w:val="26"/>
          <w:szCs w:val="26"/>
        </w:rPr>
        <w:t>the</w:t>
      </w:r>
      <w:r w:rsidR="0023362C" w:rsidRPr="00E951F4">
        <w:rPr>
          <w:rFonts w:eastAsiaTheme="minorEastAsia"/>
          <w:sz w:val="26"/>
          <w:szCs w:val="26"/>
        </w:rPr>
        <w:t xml:space="preserve"> </w:t>
      </w:r>
      <w:r w:rsidR="003B3777" w:rsidRPr="00E951F4">
        <w:rPr>
          <w:rFonts w:eastAsiaTheme="minorEastAsia"/>
          <w:sz w:val="26"/>
          <w:szCs w:val="26"/>
        </w:rPr>
        <w:t>S</w:t>
      </w:r>
      <w:r w:rsidR="0023362C" w:rsidRPr="00E951F4">
        <w:rPr>
          <w:rFonts w:eastAsiaTheme="minorEastAsia"/>
          <w:sz w:val="26"/>
          <w:szCs w:val="26"/>
        </w:rPr>
        <w:t xml:space="preserve">olar PPA, the Company will provide the </w:t>
      </w:r>
      <w:r w:rsidR="003B3777" w:rsidRPr="00E951F4">
        <w:rPr>
          <w:rFonts w:eastAsiaTheme="minorEastAsia"/>
          <w:sz w:val="26"/>
          <w:szCs w:val="26"/>
        </w:rPr>
        <w:t xml:space="preserve">Solar </w:t>
      </w:r>
      <w:r w:rsidR="0023362C" w:rsidRPr="00E951F4">
        <w:rPr>
          <w:rFonts w:eastAsiaTheme="minorEastAsia"/>
          <w:sz w:val="26"/>
          <w:szCs w:val="26"/>
        </w:rPr>
        <w:t xml:space="preserve">PPA to the Commission for review and approval. </w:t>
      </w:r>
      <w:r w:rsidR="00F63DBC" w:rsidRPr="00E951F4">
        <w:rPr>
          <w:rFonts w:eastAsiaTheme="minorEastAsia"/>
          <w:sz w:val="26"/>
          <w:szCs w:val="26"/>
        </w:rPr>
        <w:t xml:space="preserve"> </w:t>
      </w:r>
      <w:r w:rsidR="0023362C" w:rsidRPr="00E951F4">
        <w:rPr>
          <w:rFonts w:eastAsiaTheme="minorEastAsia"/>
          <w:sz w:val="26"/>
          <w:szCs w:val="26"/>
        </w:rPr>
        <w:t xml:space="preserve">If the Commission determines that the </w:t>
      </w:r>
      <w:r w:rsidR="003B3777" w:rsidRPr="00E951F4">
        <w:rPr>
          <w:rFonts w:eastAsiaTheme="minorEastAsia"/>
          <w:sz w:val="26"/>
          <w:szCs w:val="26"/>
        </w:rPr>
        <w:t xml:space="preserve">Solar </w:t>
      </w:r>
      <w:r w:rsidR="0023362C" w:rsidRPr="00E951F4">
        <w:rPr>
          <w:rFonts w:eastAsiaTheme="minorEastAsia"/>
          <w:sz w:val="26"/>
          <w:szCs w:val="26"/>
        </w:rPr>
        <w:t xml:space="preserve">PPA is not </w:t>
      </w:r>
      <w:r w:rsidR="003B3777" w:rsidRPr="00E951F4">
        <w:rPr>
          <w:rFonts w:eastAsiaTheme="minorEastAsia"/>
          <w:sz w:val="26"/>
          <w:szCs w:val="26"/>
        </w:rPr>
        <w:t xml:space="preserve">consistent with the approvals in this </w:t>
      </w:r>
      <w:r w:rsidR="003B3777" w:rsidRPr="00E951F4">
        <w:rPr>
          <w:rFonts w:eastAsiaTheme="minorEastAsia"/>
          <w:sz w:val="26"/>
          <w:szCs w:val="26"/>
        </w:rPr>
        <w:lastRenderedPageBreak/>
        <w:t>Opinion and Order</w:t>
      </w:r>
      <w:r w:rsidR="00CF03AF" w:rsidRPr="00E951F4">
        <w:rPr>
          <w:rFonts w:eastAsiaTheme="minorEastAsia"/>
          <w:sz w:val="26"/>
          <w:szCs w:val="26"/>
        </w:rPr>
        <w:t xml:space="preserve"> or otherwise not</w:t>
      </w:r>
      <w:r w:rsidR="003B3777" w:rsidRPr="00E951F4">
        <w:rPr>
          <w:rFonts w:eastAsiaTheme="minorEastAsia"/>
          <w:sz w:val="26"/>
          <w:szCs w:val="26"/>
        </w:rPr>
        <w:t xml:space="preserve"> </w:t>
      </w:r>
      <w:r w:rsidR="0023362C" w:rsidRPr="00E951F4">
        <w:rPr>
          <w:rFonts w:eastAsiaTheme="minorEastAsia"/>
          <w:sz w:val="26"/>
          <w:szCs w:val="26"/>
        </w:rPr>
        <w:t>in the public interest at that time,</w:t>
      </w:r>
      <w:r w:rsidR="00050605" w:rsidRPr="00E951F4">
        <w:rPr>
          <w:rStyle w:val="FootnoteReference"/>
          <w:rFonts w:eastAsiaTheme="minorEastAsia"/>
          <w:sz w:val="26"/>
          <w:szCs w:val="26"/>
        </w:rPr>
        <w:footnoteReference w:id="7"/>
      </w:r>
      <w:r w:rsidR="0023362C" w:rsidRPr="00E951F4">
        <w:rPr>
          <w:rFonts w:eastAsiaTheme="minorEastAsia"/>
          <w:sz w:val="26"/>
          <w:szCs w:val="26"/>
        </w:rPr>
        <w:t xml:space="preserve"> it can deny the </w:t>
      </w:r>
      <w:r w:rsidR="003B3777" w:rsidRPr="00E951F4">
        <w:rPr>
          <w:rFonts w:eastAsiaTheme="minorEastAsia"/>
          <w:sz w:val="26"/>
          <w:szCs w:val="26"/>
        </w:rPr>
        <w:t xml:space="preserve">Solar </w:t>
      </w:r>
      <w:r w:rsidR="0023362C" w:rsidRPr="00E951F4">
        <w:rPr>
          <w:rFonts w:eastAsiaTheme="minorEastAsia"/>
          <w:sz w:val="26"/>
          <w:szCs w:val="26"/>
        </w:rPr>
        <w:t>PPA.</w:t>
      </w:r>
      <w:r w:rsidR="00CF03AF" w:rsidRPr="00E951F4">
        <w:rPr>
          <w:rFonts w:eastAsiaTheme="minorEastAsia"/>
          <w:sz w:val="26"/>
          <w:szCs w:val="26"/>
        </w:rPr>
        <w:t xml:space="preserve"> </w:t>
      </w:r>
    </w:p>
    <w:p w14:paraId="11894630" w14:textId="77777777" w:rsidR="0023362C" w:rsidRPr="00E951F4" w:rsidRDefault="0023362C" w:rsidP="00E951F4">
      <w:pPr>
        <w:widowControl/>
        <w:kinsoku w:val="0"/>
        <w:overflowPunct w:val="0"/>
        <w:spacing w:line="360" w:lineRule="auto"/>
        <w:ind w:firstLine="1440"/>
        <w:textAlignment w:val="baseline"/>
        <w:rPr>
          <w:sz w:val="26"/>
          <w:szCs w:val="26"/>
        </w:rPr>
      </w:pPr>
    </w:p>
    <w:p w14:paraId="5A564EDE" w14:textId="09E4DC7F" w:rsidR="0023362C" w:rsidRPr="00E951F4" w:rsidRDefault="0023362C" w:rsidP="00E951F4">
      <w:pPr>
        <w:widowControl/>
        <w:kinsoku w:val="0"/>
        <w:overflowPunct w:val="0"/>
        <w:spacing w:line="360" w:lineRule="auto"/>
        <w:ind w:firstLine="1440"/>
        <w:textAlignment w:val="baseline"/>
        <w:rPr>
          <w:sz w:val="26"/>
          <w:szCs w:val="26"/>
        </w:rPr>
      </w:pPr>
      <w:r w:rsidRPr="00E951F4">
        <w:rPr>
          <w:sz w:val="26"/>
          <w:szCs w:val="26"/>
        </w:rPr>
        <w:t xml:space="preserve">In summary, the central question here is </w:t>
      </w:r>
      <w:r w:rsidR="00F63DBC" w:rsidRPr="00E951F4">
        <w:rPr>
          <w:sz w:val="26"/>
          <w:szCs w:val="26"/>
        </w:rPr>
        <w:t xml:space="preserve">whether </w:t>
      </w:r>
      <w:r w:rsidRPr="00E951F4">
        <w:rPr>
          <w:sz w:val="26"/>
          <w:szCs w:val="26"/>
        </w:rPr>
        <w:t xml:space="preserve">Duquesne Light has </w:t>
      </w:r>
      <w:r w:rsidR="00501EA2" w:rsidRPr="00E951F4">
        <w:rPr>
          <w:sz w:val="26"/>
          <w:szCs w:val="26"/>
        </w:rPr>
        <w:t>demonstrated with</w:t>
      </w:r>
      <w:r w:rsidRPr="00E951F4">
        <w:rPr>
          <w:sz w:val="26"/>
          <w:szCs w:val="26"/>
        </w:rPr>
        <w:t xml:space="preserve"> substantial evidence, not sufficiently rebutted by other parties, that a prudent mix of supplies includes it undertaking </w:t>
      </w:r>
      <w:r w:rsidR="00501EA2" w:rsidRPr="00E951F4">
        <w:rPr>
          <w:sz w:val="26"/>
          <w:szCs w:val="26"/>
        </w:rPr>
        <w:t>the proposed</w:t>
      </w:r>
      <w:r w:rsidRPr="00E951F4">
        <w:rPr>
          <w:sz w:val="26"/>
          <w:szCs w:val="26"/>
        </w:rPr>
        <w:t xml:space="preserve"> </w:t>
      </w:r>
      <w:r w:rsidR="00501EA2" w:rsidRPr="00E951F4">
        <w:rPr>
          <w:sz w:val="26"/>
          <w:szCs w:val="26"/>
        </w:rPr>
        <w:t>seven</w:t>
      </w:r>
      <w:r w:rsidRPr="00E951F4">
        <w:rPr>
          <w:sz w:val="26"/>
          <w:szCs w:val="26"/>
        </w:rPr>
        <w:t xml:space="preserve"> MW</w:t>
      </w:r>
      <w:r w:rsidR="00501EA2" w:rsidRPr="00E951F4">
        <w:rPr>
          <w:sz w:val="26"/>
          <w:szCs w:val="26"/>
        </w:rPr>
        <w:t>,</w:t>
      </w:r>
      <w:r w:rsidRPr="00E951F4">
        <w:rPr>
          <w:sz w:val="26"/>
          <w:szCs w:val="26"/>
        </w:rPr>
        <w:t xml:space="preserve"> long-term </w:t>
      </w:r>
      <w:r w:rsidR="00501EA2" w:rsidRPr="00E951F4">
        <w:rPr>
          <w:sz w:val="26"/>
          <w:szCs w:val="26"/>
        </w:rPr>
        <w:t>S</w:t>
      </w:r>
      <w:r w:rsidRPr="00E951F4">
        <w:rPr>
          <w:sz w:val="26"/>
          <w:szCs w:val="26"/>
        </w:rPr>
        <w:t>olar PPA.  We conclude that Duquesne Light has met its</w:t>
      </w:r>
      <w:r w:rsidR="00501EA2" w:rsidRPr="00E951F4">
        <w:rPr>
          <w:sz w:val="26"/>
          <w:szCs w:val="26"/>
        </w:rPr>
        <w:t xml:space="preserve"> burden of proof by demonstrating with substantial evidence that its DSP IX supply portfolio meets the</w:t>
      </w:r>
      <w:r w:rsidRPr="00E951F4">
        <w:rPr>
          <w:sz w:val="26"/>
          <w:szCs w:val="26"/>
        </w:rPr>
        <w:t xml:space="preserve"> “prudent mix” </w:t>
      </w:r>
      <w:r w:rsidR="00501EA2" w:rsidRPr="00E951F4">
        <w:rPr>
          <w:sz w:val="26"/>
          <w:szCs w:val="26"/>
        </w:rPr>
        <w:t>standard</w:t>
      </w:r>
      <w:r w:rsidRPr="00E951F4">
        <w:rPr>
          <w:sz w:val="26"/>
          <w:szCs w:val="26"/>
        </w:rPr>
        <w:t xml:space="preserve"> under Section 2807(e)(3.2)(iii), by proposing a combination of spot purchases, short, and long-term contracts, including its </w:t>
      </w:r>
      <w:r w:rsidR="00501EA2" w:rsidRPr="00E951F4">
        <w:rPr>
          <w:sz w:val="26"/>
          <w:szCs w:val="26"/>
        </w:rPr>
        <w:t>S</w:t>
      </w:r>
      <w:r w:rsidRPr="00E951F4">
        <w:rPr>
          <w:sz w:val="26"/>
          <w:szCs w:val="26"/>
        </w:rPr>
        <w:t>olar PPA proposal.</w:t>
      </w:r>
    </w:p>
    <w:p w14:paraId="68350311" w14:textId="77777777" w:rsidR="00F63DBC" w:rsidRPr="00E951F4" w:rsidRDefault="00F63DBC" w:rsidP="00E951F4">
      <w:pPr>
        <w:widowControl/>
        <w:kinsoku w:val="0"/>
        <w:overflowPunct w:val="0"/>
        <w:spacing w:line="360" w:lineRule="auto"/>
        <w:ind w:firstLine="1440"/>
        <w:textAlignment w:val="baseline"/>
        <w:rPr>
          <w:sz w:val="26"/>
          <w:szCs w:val="26"/>
        </w:rPr>
      </w:pPr>
    </w:p>
    <w:p w14:paraId="3C1C73AA" w14:textId="605B8AAF" w:rsidR="0023362C" w:rsidRPr="00E951F4" w:rsidRDefault="0023362C" w:rsidP="00E951F4">
      <w:pPr>
        <w:widowControl/>
        <w:kinsoku w:val="0"/>
        <w:overflowPunct w:val="0"/>
        <w:spacing w:line="360" w:lineRule="auto"/>
        <w:ind w:firstLine="1440"/>
        <w:textAlignment w:val="baseline"/>
        <w:rPr>
          <w:rFonts w:eastAsiaTheme="minorEastAsia"/>
          <w:sz w:val="26"/>
          <w:szCs w:val="26"/>
        </w:rPr>
      </w:pPr>
      <w:r w:rsidRPr="00E951F4">
        <w:rPr>
          <w:sz w:val="26"/>
          <w:szCs w:val="26"/>
        </w:rPr>
        <w:t xml:space="preserve">We find instructive </w:t>
      </w:r>
      <w:r w:rsidR="0034729B" w:rsidRPr="00E951F4">
        <w:rPr>
          <w:i/>
          <w:iCs/>
          <w:sz w:val="26"/>
          <w:szCs w:val="26"/>
        </w:rPr>
        <w:t>Implementation of Act 129</w:t>
      </w:r>
      <w:r w:rsidR="00F472DD" w:rsidRPr="00E951F4">
        <w:rPr>
          <w:i/>
          <w:iCs/>
          <w:sz w:val="26"/>
          <w:szCs w:val="26"/>
        </w:rPr>
        <w:t xml:space="preserve"> of October 15, 2008; Default Service and Retail Electric Markets</w:t>
      </w:r>
      <w:r w:rsidR="002734D6" w:rsidRPr="00E951F4">
        <w:rPr>
          <w:sz w:val="26"/>
          <w:szCs w:val="26"/>
        </w:rPr>
        <w:t xml:space="preserve">, </w:t>
      </w:r>
      <w:r w:rsidR="00E61470" w:rsidRPr="00E951F4">
        <w:rPr>
          <w:sz w:val="26"/>
          <w:szCs w:val="26"/>
        </w:rPr>
        <w:t xml:space="preserve">Docket No. </w:t>
      </w:r>
      <w:r w:rsidRPr="00E951F4">
        <w:rPr>
          <w:sz w:val="26"/>
          <w:szCs w:val="26"/>
        </w:rPr>
        <w:t>L-2009-2095604 (</w:t>
      </w:r>
      <w:r w:rsidRPr="00E951F4">
        <w:rPr>
          <w:i/>
          <w:iCs/>
          <w:sz w:val="26"/>
          <w:szCs w:val="26"/>
        </w:rPr>
        <w:t>2011 Default Service Order</w:t>
      </w:r>
      <w:r w:rsidRPr="00E951F4">
        <w:rPr>
          <w:sz w:val="26"/>
          <w:szCs w:val="26"/>
        </w:rPr>
        <w:t>) where we discussed at length the EDC</w:t>
      </w:r>
      <w:r w:rsidR="002734D6" w:rsidRPr="00E951F4">
        <w:rPr>
          <w:sz w:val="26"/>
          <w:szCs w:val="26"/>
        </w:rPr>
        <w:t>’</w:t>
      </w:r>
      <w:r w:rsidRPr="00E951F4">
        <w:rPr>
          <w:sz w:val="26"/>
          <w:szCs w:val="26"/>
        </w:rPr>
        <w:t xml:space="preserve">s obligation under the prudent mix standard and the issue of long-term contracts as part of the supply mix.  </w:t>
      </w:r>
      <w:r w:rsidRPr="00E951F4">
        <w:rPr>
          <w:rFonts w:eastAsiaTheme="minorEastAsia"/>
          <w:sz w:val="26"/>
          <w:szCs w:val="26"/>
        </w:rPr>
        <w:t xml:space="preserve">The Commission elaborated as follows on this issue in the </w:t>
      </w:r>
      <w:r w:rsidRPr="00E951F4">
        <w:rPr>
          <w:rFonts w:eastAsiaTheme="minorEastAsia"/>
          <w:i/>
          <w:iCs/>
          <w:sz w:val="26"/>
          <w:szCs w:val="26"/>
        </w:rPr>
        <w:t>2011 Default Service Order</w:t>
      </w:r>
      <w:r w:rsidRPr="00E951F4">
        <w:rPr>
          <w:rFonts w:eastAsiaTheme="minorEastAsia"/>
          <w:sz w:val="26"/>
          <w:szCs w:val="26"/>
        </w:rPr>
        <w:t xml:space="preserve"> by stating:</w:t>
      </w:r>
    </w:p>
    <w:p w14:paraId="1CA4FA4E" w14:textId="77777777" w:rsidR="00AD1C75" w:rsidRPr="00E951F4" w:rsidRDefault="00AD1C75" w:rsidP="00171FD8">
      <w:pPr>
        <w:widowControl/>
        <w:kinsoku w:val="0"/>
        <w:overflowPunct w:val="0"/>
        <w:ind w:left="792" w:right="288"/>
        <w:textAlignment w:val="baseline"/>
        <w:rPr>
          <w:rFonts w:eastAsiaTheme="minorEastAsia"/>
          <w:sz w:val="26"/>
          <w:szCs w:val="26"/>
        </w:rPr>
      </w:pPr>
    </w:p>
    <w:p w14:paraId="2A8E1282" w14:textId="04118172" w:rsidR="0023362C" w:rsidRPr="00E951F4" w:rsidRDefault="0023362C" w:rsidP="00E951F4">
      <w:pPr>
        <w:widowControl/>
        <w:kinsoku w:val="0"/>
        <w:overflowPunct w:val="0"/>
        <w:ind w:left="1440" w:right="1440"/>
        <w:textAlignment w:val="baseline"/>
        <w:rPr>
          <w:rFonts w:eastAsiaTheme="minorEastAsia"/>
          <w:sz w:val="26"/>
          <w:szCs w:val="26"/>
        </w:rPr>
      </w:pPr>
      <w:r w:rsidRPr="00E951F4">
        <w:rPr>
          <w:rFonts w:eastAsiaTheme="minorEastAsia"/>
          <w:sz w:val="26"/>
          <w:szCs w:val="26"/>
        </w:rPr>
        <w:t xml:space="preserve">As we have done on other aspects of the plan review process, we will continue to review each plan on a </w:t>
      </w:r>
      <w:r w:rsidR="00AD1C75" w:rsidRPr="00E951F4">
        <w:rPr>
          <w:rFonts w:eastAsiaTheme="minorEastAsia"/>
          <w:sz w:val="26"/>
          <w:szCs w:val="26"/>
        </w:rPr>
        <w:t>“</w:t>
      </w:r>
      <w:r w:rsidRPr="00E951F4">
        <w:rPr>
          <w:rFonts w:eastAsiaTheme="minorEastAsia"/>
          <w:sz w:val="26"/>
          <w:szCs w:val="26"/>
        </w:rPr>
        <w:t>case by case</w:t>
      </w:r>
      <w:r w:rsidR="00AD1C75" w:rsidRPr="00E951F4">
        <w:rPr>
          <w:rFonts w:eastAsiaTheme="minorEastAsia"/>
          <w:sz w:val="26"/>
          <w:szCs w:val="26"/>
        </w:rPr>
        <w:t>”</w:t>
      </w:r>
      <w:r w:rsidRPr="00E951F4">
        <w:rPr>
          <w:rFonts w:eastAsiaTheme="minorEastAsia"/>
          <w:sz w:val="26"/>
          <w:szCs w:val="26"/>
        </w:rPr>
        <w:t xml:space="preserve"> basis that independently evaluates the merits of each default service plan where input from stakeholders is assured. </w:t>
      </w:r>
      <w:r w:rsidR="00AD1C75" w:rsidRPr="00E951F4">
        <w:rPr>
          <w:rFonts w:eastAsiaTheme="minorEastAsia"/>
          <w:sz w:val="26"/>
          <w:szCs w:val="26"/>
        </w:rPr>
        <w:t xml:space="preserve"> </w:t>
      </w:r>
      <w:r w:rsidRPr="00E951F4">
        <w:rPr>
          <w:rFonts w:eastAsiaTheme="minorEastAsia"/>
          <w:sz w:val="26"/>
          <w:szCs w:val="26"/>
        </w:rPr>
        <w:t>We reaffirm our commitment that a</w:t>
      </w:r>
      <w:r w:rsidR="00AD1C75" w:rsidRPr="00E951F4">
        <w:rPr>
          <w:rFonts w:eastAsiaTheme="minorEastAsia"/>
          <w:sz w:val="26"/>
          <w:szCs w:val="26"/>
        </w:rPr>
        <w:t xml:space="preserve"> “</w:t>
      </w:r>
      <w:r w:rsidRPr="00E951F4">
        <w:rPr>
          <w:rFonts w:eastAsiaTheme="minorEastAsia"/>
          <w:sz w:val="26"/>
          <w:szCs w:val="26"/>
        </w:rPr>
        <w:t>prudent mix</w:t>
      </w:r>
      <w:r w:rsidR="00AD1C75" w:rsidRPr="00E951F4">
        <w:rPr>
          <w:rFonts w:eastAsiaTheme="minorEastAsia"/>
          <w:sz w:val="26"/>
          <w:szCs w:val="26"/>
        </w:rPr>
        <w:t>”</w:t>
      </w:r>
      <w:r w:rsidRPr="00E951F4">
        <w:rPr>
          <w:rFonts w:eastAsiaTheme="minorEastAsia"/>
          <w:sz w:val="26"/>
          <w:szCs w:val="26"/>
        </w:rPr>
        <w:t xml:space="preserve"> include a combination of spot purchases, short, intermediate and long-term contracts recognizing the limitation of 25% on long-term contracts under Section 2807(e)(3.2)(iii).</w:t>
      </w:r>
    </w:p>
    <w:p w14:paraId="2E9F96E8" w14:textId="77777777" w:rsidR="004E04E5" w:rsidRPr="00E951F4" w:rsidRDefault="004E04E5" w:rsidP="00E951F4">
      <w:pPr>
        <w:widowControl/>
        <w:kinsoku w:val="0"/>
        <w:overflowPunct w:val="0"/>
        <w:ind w:left="1440" w:right="1440"/>
        <w:textAlignment w:val="baseline"/>
        <w:rPr>
          <w:rFonts w:eastAsiaTheme="minorEastAsia"/>
          <w:sz w:val="26"/>
          <w:szCs w:val="26"/>
        </w:rPr>
      </w:pPr>
    </w:p>
    <w:p w14:paraId="2768BF39" w14:textId="4E2418BF" w:rsidR="0023362C" w:rsidRPr="00E951F4" w:rsidRDefault="0023362C" w:rsidP="00E951F4">
      <w:pPr>
        <w:keepNext/>
        <w:widowControl/>
        <w:kinsoku w:val="0"/>
        <w:overflowPunct w:val="0"/>
        <w:ind w:left="1440" w:right="1440"/>
        <w:textAlignment w:val="baseline"/>
        <w:rPr>
          <w:rFonts w:eastAsiaTheme="minorEastAsia"/>
          <w:sz w:val="26"/>
          <w:szCs w:val="26"/>
        </w:rPr>
      </w:pPr>
      <w:r w:rsidRPr="00E951F4">
        <w:rPr>
          <w:rFonts w:eastAsiaTheme="minorEastAsia"/>
          <w:sz w:val="26"/>
          <w:szCs w:val="26"/>
        </w:rPr>
        <w:t xml:space="preserve">We do reject the positions of those parties that </w:t>
      </w:r>
      <w:r w:rsidR="00AD1C75" w:rsidRPr="00E951F4">
        <w:rPr>
          <w:rFonts w:eastAsiaTheme="minorEastAsia"/>
          <w:sz w:val="26"/>
          <w:szCs w:val="26"/>
        </w:rPr>
        <w:t>“</w:t>
      </w:r>
      <w:r w:rsidRPr="00E951F4">
        <w:rPr>
          <w:rFonts w:eastAsiaTheme="minorEastAsia"/>
          <w:sz w:val="26"/>
          <w:szCs w:val="26"/>
        </w:rPr>
        <w:t>prudent mix</w:t>
      </w:r>
      <w:r w:rsidR="00AD1C75" w:rsidRPr="00E951F4">
        <w:rPr>
          <w:rFonts w:eastAsiaTheme="minorEastAsia"/>
          <w:sz w:val="26"/>
          <w:szCs w:val="26"/>
        </w:rPr>
        <w:t>”</w:t>
      </w:r>
      <w:r w:rsidRPr="00E951F4">
        <w:rPr>
          <w:rFonts w:eastAsiaTheme="minorEastAsia"/>
          <w:sz w:val="26"/>
          <w:szCs w:val="26"/>
        </w:rPr>
        <w:t xml:space="preserve"> be defined to always require a specific mix or percentage of types of contract components in each default service plan or a minimum of two types of products. </w:t>
      </w:r>
      <w:r w:rsidR="00AD1C75" w:rsidRPr="00E951F4">
        <w:rPr>
          <w:rFonts w:eastAsiaTheme="minorEastAsia"/>
          <w:sz w:val="26"/>
          <w:szCs w:val="26"/>
        </w:rPr>
        <w:t xml:space="preserve"> </w:t>
      </w:r>
      <w:r w:rsidRPr="00E951F4">
        <w:rPr>
          <w:rFonts w:eastAsiaTheme="minorEastAsia"/>
          <w:sz w:val="26"/>
          <w:szCs w:val="26"/>
        </w:rPr>
        <w:t xml:space="preserve">We also reject the </w:t>
      </w:r>
      <w:r w:rsidRPr="00E951F4">
        <w:rPr>
          <w:rFonts w:eastAsiaTheme="minorEastAsia"/>
          <w:sz w:val="26"/>
          <w:szCs w:val="26"/>
        </w:rPr>
        <w:lastRenderedPageBreak/>
        <w:t xml:space="preserve">position of USA that long term contracts should not be part of the </w:t>
      </w:r>
      <w:r w:rsidR="00AD1C75" w:rsidRPr="00E951F4">
        <w:rPr>
          <w:rFonts w:eastAsiaTheme="minorEastAsia"/>
          <w:sz w:val="26"/>
          <w:szCs w:val="26"/>
        </w:rPr>
        <w:t>“</w:t>
      </w:r>
      <w:r w:rsidRPr="00E951F4">
        <w:rPr>
          <w:rFonts w:eastAsiaTheme="minorEastAsia"/>
          <w:sz w:val="26"/>
          <w:szCs w:val="26"/>
        </w:rPr>
        <w:t>prudent mix</w:t>
      </w:r>
      <w:r w:rsidR="00AD1C75" w:rsidRPr="00E951F4">
        <w:rPr>
          <w:rFonts w:eastAsiaTheme="minorEastAsia"/>
          <w:sz w:val="26"/>
          <w:szCs w:val="26"/>
        </w:rPr>
        <w:t>”</w:t>
      </w:r>
      <w:r w:rsidRPr="00E951F4">
        <w:rPr>
          <w:rFonts w:eastAsiaTheme="minorEastAsia"/>
          <w:sz w:val="26"/>
          <w:szCs w:val="26"/>
        </w:rPr>
        <w:t xml:space="preserve"> standard.</w:t>
      </w:r>
      <w:r w:rsidR="00AD1C75" w:rsidRPr="00E951F4">
        <w:rPr>
          <w:rFonts w:eastAsiaTheme="minorEastAsia"/>
          <w:sz w:val="26"/>
          <w:szCs w:val="26"/>
        </w:rPr>
        <w:t xml:space="preserve"> </w:t>
      </w:r>
      <w:r w:rsidRPr="00E951F4">
        <w:rPr>
          <w:rFonts w:eastAsiaTheme="minorEastAsia"/>
          <w:sz w:val="26"/>
          <w:szCs w:val="26"/>
        </w:rPr>
        <w:t xml:space="preserve"> Our concern with adopting specific parameters is that adoption of specific component requirements creates constraints that limit the flexibility of the DSP to design a combination of products that meets the requirements under the Competition Act and Act 129.</w:t>
      </w:r>
    </w:p>
    <w:p w14:paraId="787CB7CF" w14:textId="77777777" w:rsidR="0023362C" w:rsidRPr="00E951F4" w:rsidRDefault="0023362C" w:rsidP="00E951F4">
      <w:pPr>
        <w:keepNext/>
        <w:widowControl/>
        <w:kinsoku w:val="0"/>
        <w:overflowPunct w:val="0"/>
        <w:spacing w:line="360" w:lineRule="auto"/>
        <w:textAlignment w:val="baseline"/>
        <w:rPr>
          <w:rFonts w:eastAsiaTheme="minorEastAsia"/>
          <w:sz w:val="26"/>
          <w:szCs w:val="26"/>
        </w:rPr>
      </w:pPr>
    </w:p>
    <w:p w14:paraId="63A472B0" w14:textId="66FF045B" w:rsidR="0023362C" w:rsidRPr="00E951F4" w:rsidRDefault="0023362C" w:rsidP="00E951F4">
      <w:pPr>
        <w:keepNext/>
        <w:widowControl/>
        <w:kinsoku w:val="0"/>
        <w:overflowPunct w:val="0"/>
        <w:spacing w:line="360" w:lineRule="auto"/>
        <w:textAlignment w:val="baseline"/>
        <w:rPr>
          <w:sz w:val="26"/>
          <w:szCs w:val="26"/>
        </w:rPr>
      </w:pPr>
      <w:r w:rsidRPr="00E951F4">
        <w:rPr>
          <w:i/>
          <w:iCs/>
          <w:sz w:val="26"/>
          <w:szCs w:val="26"/>
        </w:rPr>
        <w:t>2011 Default Service Order</w:t>
      </w:r>
      <w:r w:rsidRPr="00E951F4">
        <w:rPr>
          <w:sz w:val="26"/>
          <w:szCs w:val="26"/>
        </w:rPr>
        <w:t xml:space="preserve"> at 60.</w:t>
      </w:r>
    </w:p>
    <w:p w14:paraId="36D0B8C2" w14:textId="77777777" w:rsidR="0023362C" w:rsidRPr="00E951F4" w:rsidRDefault="0023362C" w:rsidP="00E951F4">
      <w:pPr>
        <w:widowControl/>
        <w:kinsoku w:val="0"/>
        <w:overflowPunct w:val="0"/>
        <w:spacing w:line="360" w:lineRule="auto"/>
        <w:textAlignment w:val="baseline"/>
        <w:rPr>
          <w:sz w:val="26"/>
          <w:szCs w:val="26"/>
        </w:rPr>
      </w:pPr>
    </w:p>
    <w:p w14:paraId="004CB6C2" w14:textId="773E86C0" w:rsidR="0023362C" w:rsidRPr="00E951F4" w:rsidRDefault="00080400" w:rsidP="00E951F4">
      <w:pPr>
        <w:widowControl/>
        <w:kinsoku w:val="0"/>
        <w:overflowPunct w:val="0"/>
        <w:spacing w:line="360" w:lineRule="auto"/>
        <w:ind w:firstLine="1440"/>
        <w:textAlignment w:val="baseline"/>
        <w:rPr>
          <w:rFonts w:eastAsiaTheme="minorEastAsia"/>
          <w:sz w:val="26"/>
          <w:szCs w:val="26"/>
        </w:rPr>
      </w:pPr>
      <w:r w:rsidRPr="00E951F4">
        <w:rPr>
          <w:rFonts w:eastAsiaTheme="minorEastAsia"/>
          <w:sz w:val="26"/>
          <w:szCs w:val="26"/>
        </w:rPr>
        <w:t>T</w:t>
      </w:r>
      <w:r w:rsidR="0023362C" w:rsidRPr="00E951F4">
        <w:rPr>
          <w:rFonts w:eastAsiaTheme="minorEastAsia"/>
          <w:sz w:val="26"/>
          <w:szCs w:val="26"/>
        </w:rPr>
        <w:t xml:space="preserve">here is no precise formula for the correct prudent mix and the policy set forth in the </w:t>
      </w:r>
      <w:r w:rsidR="0023362C" w:rsidRPr="00E951F4">
        <w:rPr>
          <w:rFonts w:eastAsiaTheme="minorEastAsia"/>
          <w:i/>
          <w:iCs/>
          <w:sz w:val="26"/>
          <w:szCs w:val="26"/>
        </w:rPr>
        <w:t>2011 Default Service Order</w:t>
      </w:r>
      <w:r w:rsidR="0023362C" w:rsidRPr="00E951F4">
        <w:rPr>
          <w:rFonts w:eastAsiaTheme="minorEastAsia"/>
          <w:sz w:val="26"/>
          <w:szCs w:val="26"/>
        </w:rPr>
        <w:t xml:space="preserve"> requires that the EDC, on a case-by-case basis, show that its proposed portfolio of contracts complies with the requirements of the Code.  The record in this proceeding provides substantial evidence supporting Duquesne Light’s proposal to seek a long-term </w:t>
      </w:r>
      <w:r w:rsidR="009A51E6" w:rsidRPr="00E951F4">
        <w:rPr>
          <w:rFonts w:eastAsiaTheme="minorEastAsia"/>
          <w:sz w:val="26"/>
          <w:szCs w:val="26"/>
        </w:rPr>
        <w:t>S</w:t>
      </w:r>
      <w:r w:rsidR="0023362C" w:rsidRPr="00E951F4">
        <w:rPr>
          <w:rFonts w:eastAsiaTheme="minorEastAsia"/>
          <w:sz w:val="26"/>
          <w:szCs w:val="26"/>
        </w:rPr>
        <w:t xml:space="preserve">olar PPA and bring it to this Commission for review and approval.  We adopt the ALJ’s well-reasoned and focused conclusions on the </w:t>
      </w:r>
      <w:r w:rsidR="007D5A33" w:rsidRPr="00E951F4">
        <w:rPr>
          <w:rFonts w:eastAsiaTheme="minorEastAsia"/>
          <w:sz w:val="26"/>
          <w:szCs w:val="26"/>
        </w:rPr>
        <w:t>S</w:t>
      </w:r>
      <w:r w:rsidR="0023362C" w:rsidRPr="00E951F4">
        <w:rPr>
          <w:rFonts w:eastAsiaTheme="minorEastAsia"/>
          <w:sz w:val="26"/>
          <w:szCs w:val="26"/>
        </w:rPr>
        <w:t xml:space="preserve">olar PPA issue.  The Exceptions of the EGS Parties and MAREC on the </w:t>
      </w:r>
      <w:r w:rsidR="009A51E6" w:rsidRPr="00E951F4">
        <w:rPr>
          <w:rFonts w:eastAsiaTheme="minorEastAsia"/>
          <w:sz w:val="26"/>
          <w:szCs w:val="26"/>
        </w:rPr>
        <w:t>S</w:t>
      </w:r>
      <w:r w:rsidR="0023362C" w:rsidRPr="00E951F4">
        <w:rPr>
          <w:rFonts w:eastAsiaTheme="minorEastAsia"/>
          <w:sz w:val="26"/>
          <w:szCs w:val="26"/>
        </w:rPr>
        <w:t>olar PPA issue are denied.</w:t>
      </w:r>
    </w:p>
    <w:p w14:paraId="1A0BE082" w14:textId="77777777" w:rsidR="0023362C" w:rsidRPr="00E951F4" w:rsidRDefault="0023362C" w:rsidP="00E951F4">
      <w:pPr>
        <w:widowControl/>
        <w:kinsoku w:val="0"/>
        <w:overflowPunct w:val="0"/>
        <w:spacing w:line="360" w:lineRule="auto"/>
        <w:ind w:firstLine="720"/>
        <w:textAlignment w:val="baseline"/>
        <w:rPr>
          <w:rFonts w:eastAsiaTheme="minorEastAsia"/>
          <w:sz w:val="26"/>
          <w:szCs w:val="26"/>
        </w:rPr>
      </w:pPr>
    </w:p>
    <w:p w14:paraId="6D8A8D27" w14:textId="071E8706" w:rsidR="00814DC3" w:rsidRPr="00E951F4" w:rsidRDefault="00B84AC3" w:rsidP="00E951F4">
      <w:pPr>
        <w:pStyle w:val="Heading2"/>
        <w:spacing w:line="360" w:lineRule="auto"/>
      </w:pPr>
      <w:bookmarkStart w:id="106" w:name="_Toc59620156"/>
      <w:bookmarkStart w:id="107" w:name="_Toc60912050"/>
      <w:r>
        <w:t>D</w:t>
      </w:r>
      <w:r w:rsidR="00814DC3" w:rsidRPr="00E951F4">
        <w:t>.</w:t>
      </w:r>
      <w:r w:rsidR="006A785B" w:rsidRPr="00E951F4">
        <w:tab/>
        <w:t>CAP Shopping</w:t>
      </w:r>
      <w:bookmarkEnd w:id="106"/>
      <w:bookmarkEnd w:id="107"/>
    </w:p>
    <w:p w14:paraId="3864639C" w14:textId="14614DDC" w:rsidR="00814DC3" w:rsidRPr="00E951F4" w:rsidRDefault="00814DC3" w:rsidP="00E951F4">
      <w:pPr>
        <w:keepNext/>
        <w:keepLines/>
        <w:widowControl/>
        <w:spacing w:line="360" w:lineRule="auto"/>
        <w:ind w:firstLine="1440"/>
        <w:contextualSpacing/>
        <w:rPr>
          <w:b/>
          <w:bCs/>
          <w:caps/>
          <w:sz w:val="26"/>
          <w:szCs w:val="26"/>
        </w:rPr>
      </w:pPr>
    </w:p>
    <w:p w14:paraId="73F49C01" w14:textId="201D5BE6" w:rsidR="00A55FFF" w:rsidRPr="00E951F4" w:rsidRDefault="00A55FFF" w:rsidP="00E951F4">
      <w:pPr>
        <w:pStyle w:val="Heading3"/>
        <w:keepLines w:val="0"/>
        <w:numPr>
          <w:ilvl w:val="0"/>
          <w:numId w:val="47"/>
        </w:numPr>
        <w:ind w:left="1440" w:hanging="720"/>
      </w:pPr>
      <w:bookmarkStart w:id="108" w:name="_Toc59620157"/>
      <w:bookmarkStart w:id="109" w:name="_Toc60912051"/>
      <w:r w:rsidRPr="00E951F4">
        <w:rPr>
          <w:caps/>
        </w:rPr>
        <w:t>P</w:t>
      </w:r>
      <w:r w:rsidRPr="00E951F4">
        <w:t>ositions of the Parties</w:t>
      </w:r>
      <w:bookmarkEnd w:id="108"/>
      <w:bookmarkEnd w:id="109"/>
    </w:p>
    <w:p w14:paraId="6B710CA9" w14:textId="77777777" w:rsidR="00EC3121" w:rsidRPr="00E951F4" w:rsidRDefault="00EC3121" w:rsidP="00E951F4">
      <w:pPr>
        <w:keepNext/>
        <w:widowControl/>
        <w:spacing w:line="360" w:lineRule="auto"/>
        <w:rPr>
          <w:sz w:val="26"/>
          <w:szCs w:val="26"/>
        </w:rPr>
      </w:pPr>
    </w:p>
    <w:p w14:paraId="3AA9309B" w14:textId="3F3EE8AD" w:rsidR="00E47BE5" w:rsidRPr="00E951F4" w:rsidRDefault="00E47BE5" w:rsidP="00E951F4">
      <w:pPr>
        <w:keepNext/>
        <w:widowControl/>
        <w:spacing w:line="360" w:lineRule="auto"/>
        <w:ind w:left="720" w:firstLine="720"/>
        <w:rPr>
          <w:b/>
          <w:bCs/>
          <w:sz w:val="26"/>
          <w:szCs w:val="26"/>
        </w:rPr>
      </w:pPr>
      <w:r w:rsidRPr="00E951F4">
        <w:rPr>
          <w:b/>
          <w:bCs/>
          <w:sz w:val="26"/>
          <w:szCs w:val="26"/>
        </w:rPr>
        <w:t>Duquesne Light</w:t>
      </w:r>
    </w:p>
    <w:p w14:paraId="08ACF944" w14:textId="77777777" w:rsidR="00EC3121" w:rsidRPr="00E951F4" w:rsidRDefault="00EC3121" w:rsidP="00E951F4">
      <w:pPr>
        <w:keepNext/>
        <w:widowControl/>
        <w:spacing w:line="360" w:lineRule="auto"/>
        <w:rPr>
          <w:sz w:val="26"/>
          <w:szCs w:val="26"/>
        </w:rPr>
      </w:pPr>
    </w:p>
    <w:p w14:paraId="55B065FB" w14:textId="178495BC" w:rsidR="00ED384E" w:rsidRPr="00E951F4" w:rsidRDefault="001D1594" w:rsidP="00E951F4">
      <w:pPr>
        <w:keepNext/>
        <w:widowControl/>
        <w:kinsoku w:val="0"/>
        <w:overflowPunct w:val="0"/>
        <w:spacing w:line="360" w:lineRule="auto"/>
        <w:ind w:right="216" w:firstLine="1440"/>
        <w:textAlignment w:val="baseline"/>
        <w:rPr>
          <w:sz w:val="26"/>
          <w:szCs w:val="26"/>
        </w:rPr>
      </w:pPr>
      <w:r w:rsidRPr="00E951F4">
        <w:rPr>
          <w:sz w:val="26"/>
          <w:szCs w:val="26"/>
        </w:rPr>
        <w:t xml:space="preserve">Currently, Duquesne’s CAP customers do not have the option to shop for their electricity </w:t>
      </w:r>
      <w:r w:rsidR="007F645A" w:rsidRPr="00E951F4">
        <w:rPr>
          <w:sz w:val="26"/>
          <w:szCs w:val="26"/>
        </w:rPr>
        <w:t xml:space="preserve">generation supply.  </w:t>
      </w:r>
      <w:r w:rsidR="00ED384E" w:rsidRPr="00E951F4">
        <w:rPr>
          <w:sz w:val="26"/>
          <w:szCs w:val="26"/>
        </w:rPr>
        <w:t xml:space="preserve">Pursuant to </w:t>
      </w:r>
      <w:r w:rsidR="008103ED" w:rsidRPr="00E951F4">
        <w:rPr>
          <w:rFonts w:eastAsia="Calibri"/>
          <w:i/>
          <w:iCs/>
          <w:color w:val="000000"/>
          <w:sz w:val="26"/>
          <w:szCs w:val="26"/>
        </w:rPr>
        <w:t xml:space="preserve">Electric Distribution Company Default Service Plans – Customer Assistance Program Shopping, Proposed Policy Statement Order </w:t>
      </w:r>
      <w:r w:rsidR="008103ED" w:rsidRPr="00E951F4">
        <w:rPr>
          <w:rFonts w:eastAsia="Calibri"/>
          <w:color w:val="000000"/>
          <w:sz w:val="26"/>
          <w:szCs w:val="26"/>
        </w:rPr>
        <w:t>(</w:t>
      </w:r>
      <w:r w:rsidR="008103ED" w:rsidRPr="00E951F4">
        <w:rPr>
          <w:rFonts w:eastAsia="Calibri"/>
          <w:i/>
          <w:iCs/>
          <w:color w:val="000000"/>
          <w:sz w:val="26"/>
          <w:szCs w:val="26"/>
        </w:rPr>
        <w:t>Proposed Policy Statement</w:t>
      </w:r>
      <w:r w:rsidR="008103ED" w:rsidRPr="00E951F4">
        <w:rPr>
          <w:rFonts w:eastAsia="Calibri"/>
          <w:color w:val="000000"/>
          <w:sz w:val="26"/>
          <w:szCs w:val="26"/>
        </w:rPr>
        <w:t>), Docket No. M-2018-3006578 (Order entered February 29, 2019)</w:t>
      </w:r>
      <w:r w:rsidR="00ED384E" w:rsidRPr="00E951F4">
        <w:rPr>
          <w:sz w:val="26"/>
          <w:szCs w:val="26"/>
        </w:rPr>
        <w:t xml:space="preserve"> and the </w:t>
      </w:r>
      <w:r w:rsidR="00F07350" w:rsidRPr="00E951F4">
        <w:rPr>
          <w:i/>
          <w:iCs/>
          <w:sz w:val="26"/>
          <w:szCs w:val="26"/>
        </w:rPr>
        <w:t xml:space="preserve">January 23, 2020 </w:t>
      </w:r>
      <w:r w:rsidR="00ED384E" w:rsidRPr="00E951F4">
        <w:rPr>
          <w:i/>
          <w:iCs/>
          <w:sz w:val="26"/>
          <w:szCs w:val="26"/>
        </w:rPr>
        <w:t>Secretarial Letter</w:t>
      </w:r>
      <w:r w:rsidR="00ED384E" w:rsidRPr="00E951F4">
        <w:rPr>
          <w:sz w:val="26"/>
          <w:szCs w:val="26"/>
        </w:rPr>
        <w:t>, Duquesne Light proposed a CAP shopping program based on those of the FirstEnergy Companies</w:t>
      </w:r>
      <w:r w:rsidR="00F42D5E" w:rsidRPr="00E951F4">
        <w:rPr>
          <w:sz w:val="26"/>
          <w:szCs w:val="26"/>
        </w:rPr>
        <w:t>, at</w:t>
      </w:r>
      <w:r w:rsidR="00ED384E" w:rsidRPr="00E951F4">
        <w:rPr>
          <w:sz w:val="26"/>
          <w:szCs w:val="26"/>
        </w:rPr>
        <w:t xml:space="preserve"> </w:t>
      </w:r>
      <w:r w:rsidR="00ED384E" w:rsidRPr="00E951F4">
        <w:rPr>
          <w:sz w:val="26"/>
          <w:szCs w:val="26"/>
        </w:rPr>
        <w:lastRenderedPageBreak/>
        <w:t xml:space="preserve">Docket Nos. P-2017-2637855 </w:t>
      </w:r>
      <w:r w:rsidR="00ED384E" w:rsidRPr="00E951F4">
        <w:rPr>
          <w:i/>
          <w:iCs/>
          <w:sz w:val="26"/>
          <w:szCs w:val="26"/>
        </w:rPr>
        <w:t>et. al</w:t>
      </w:r>
      <w:r w:rsidR="00ED384E" w:rsidRPr="00E951F4">
        <w:rPr>
          <w:sz w:val="26"/>
          <w:szCs w:val="26"/>
        </w:rPr>
        <w:t>.</w:t>
      </w:r>
      <w:r w:rsidR="00482015" w:rsidRPr="00E951F4">
        <w:rPr>
          <w:rStyle w:val="FootnoteReference"/>
          <w:sz w:val="26"/>
          <w:szCs w:val="26"/>
        </w:rPr>
        <w:footnoteReference w:id="8"/>
      </w:r>
      <w:r w:rsidR="00ED384E" w:rsidRPr="00E951F4">
        <w:rPr>
          <w:sz w:val="26"/>
          <w:szCs w:val="26"/>
        </w:rPr>
        <w:t xml:space="preserve"> </w:t>
      </w:r>
      <w:r w:rsidR="00F42D5E" w:rsidRPr="00E951F4">
        <w:rPr>
          <w:sz w:val="26"/>
          <w:szCs w:val="26"/>
        </w:rPr>
        <w:t xml:space="preserve"> </w:t>
      </w:r>
      <w:r w:rsidR="00D55421" w:rsidRPr="00E951F4">
        <w:rPr>
          <w:sz w:val="26"/>
          <w:szCs w:val="26"/>
        </w:rPr>
        <w:t xml:space="preserve">Duquesne DSP </w:t>
      </w:r>
      <w:r w:rsidR="00A45E0C" w:rsidRPr="00E951F4">
        <w:rPr>
          <w:sz w:val="26"/>
          <w:szCs w:val="26"/>
        </w:rPr>
        <w:t xml:space="preserve">IX at ¶¶ 68, 69.  </w:t>
      </w:r>
      <w:r w:rsidR="00ED384E" w:rsidRPr="00E951F4">
        <w:rPr>
          <w:sz w:val="26"/>
          <w:szCs w:val="26"/>
        </w:rPr>
        <w:t>Specifically, Duquesne Light proposed to allow CAP shopping with the following primary conditions:</w:t>
      </w:r>
    </w:p>
    <w:p w14:paraId="5DDC6332" w14:textId="77777777" w:rsidR="00420A09" w:rsidRPr="00E951F4" w:rsidRDefault="00420A09" w:rsidP="00171FD8">
      <w:pPr>
        <w:widowControl/>
        <w:kinsoku w:val="0"/>
        <w:overflowPunct w:val="0"/>
        <w:ind w:left="144" w:right="216" w:firstLine="1296"/>
        <w:textAlignment w:val="baseline"/>
        <w:rPr>
          <w:sz w:val="26"/>
          <w:szCs w:val="26"/>
        </w:rPr>
      </w:pPr>
    </w:p>
    <w:p w14:paraId="6B452BEB" w14:textId="72AF3AD8" w:rsidR="00ED384E" w:rsidRPr="00E951F4" w:rsidRDefault="00ED384E" w:rsidP="00E951F4">
      <w:pPr>
        <w:widowControl/>
        <w:numPr>
          <w:ilvl w:val="0"/>
          <w:numId w:val="11"/>
        </w:numPr>
        <w:tabs>
          <w:tab w:val="clear" w:pos="2016"/>
          <w:tab w:val="num" w:pos="2160"/>
        </w:tabs>
        <w:kinsoku w:val="0"/>
        <w:overflowPunct w:val="0"/>
        <w:ind w:left="1440" w:right="1440"/>
        <w:textAlignment w:val="baseline"/>
        <w:rPr>
          <w:sz w:val="26"/>
          <w:szCs w:val="26"/>
        </w:rPr>
      </w:pPr>
      <w:r w:rsidRPr="00E951F4">
        <w:rPr>
          <w:sz w:val="26"/>
          <w:szCs w:val="26"/>
        </w:rPr>
        <w:t>Participating EGSs must charge CAP customers at a rate at or below the applicable residential PTC throughout the duration of the contract.</w:t>
      </w:r>
    </w:p>
    <w:p w14:paraId="4771595E" w14:textId="77777777" w:rsidR="00420A09" w:rsidRPr="00E951F4" w:rsidRDefault="00420A09" w:rsidP="00E951F4">
      <w:pPr>
        <w:widowControl/>
        <w:tabs>
          <w:tab w:val="num" w:pos="2160"/>
        </w:tabs>
        <w:kinsoku w:val="0"/>
        <w:overflowPunct w:val="0"/>
        <w:ind w:left="1440" w:right="1440"/>
        <w:textAlignment w:val="baseline"/>
        <w:rPr>
          <w:sz w:val="26"/>
          <w:szCs w:val="26"/>
        </w:rPr>
      </w:pPr>
    </w:p>
    <w:p w14:paraId="57B2B920" w14:textId="69F86C6E" w:rsidR="00ED384E" w:rsidRPr="00E951F4" w:rsidRDefault="00ED384E" w:rsidP="00E951F4">
      <w:pPr>
        <w:widowControl/>
        <w:numPr>
          <w:ilvl w:val="0"/>
          <w:numId w:val="11"/>
        </w:numPr>
        <w:tabs>
          <w:tab w:val="clear" w:pos="2016"/>
          <w:tab w:val="num" w:pos="2160"/>
        </w:tabs>
        <w:kinsoku w:val="0"/>
        <w:overflowPunct w:val="0"/>
        <w:ind w:left="1440" w:right="1440"/>
        <w:textAlignment w:val="baseline"/>
        <w:rPr>
          <w:sz w:val="26"/>
          <w:szCs w:val="26"/>
        </w:rPr>
      </w:pPr>
      <w:r w:rsidRPr="00E951F4">
        <w:rPr>
          <w:sz w:val="26"/>
          <w:szCs w:val="26"/>
        </w:rPr>
        <w:t xml:space="preserve">EGSs must use “rate-ready” consolidated EDC billing for all contracts with CAP customers. </w:t>
      </w:r>
      <w:r w:rsidR="00C06660" w:rsidRPr="00E951F4">
        <w:rPr>
          <w:sz w:val="26"/>
          <w:szCs w:val="26"/>
        </w:rPr>
        <w:t xml:space="preserve"> </w:t>
      </w:r>
      <w:r w:rsidRPr="00E951F4">
        <w:rPr>
          <w:sz w:val="26"/>
          <w:szCs w:val="26"/>
        </w:rPr>
        <w:t>Any EDI transactions to enroll a CAP customer at a rate above the PTC, or into a non-rate-ready product, will be rejected.</w:t>
      </w:r>
    </w:p>
    <w:p w14:paraId="7A649578" w14:textId="77777777" w:rsidR="00420A09" w:rsidRPr="00E951F4" w:rsidRDefault="00420A09" w:rsidP="00E951F4">
      <w:pPr>
        <w:widowControl/>
        <w:tabs>
          <w:tab w:val="num" w:pos="2160"/>
        </w:tabs>
        <w:kinsoku w:val="0"/>
        <w:overflowPunct w:val="0"/>
        <w:ind w:left="1440" w:right="1440"/>
        <w:textAlignment w:val="baseline"/>
        <w:rPr>
          <w:sz w:val="26"/>
          <w:szCs w:val="26"/>
        </w:rPr>
      </w:pPr>
    </w:p>
    <w:p w14:paraId="02D7D34F" w14:textId="77777777" w:rsidR="00420A09" w:rsidRPr="00E951F4" w:rsidRDefault="00ED384E" w:rsidP="00E951F4">
      <w:pPr>
        <w:widowControl/>
        <w:numPr>
          <w:ilvl w:val="0"/>
          <w:numId w:val="11"/>
        </w:numPr>
        <w:tabs>
          <w:tab w:val="clear" w:pos="2016"/>
          <w:tab w:val="num" w:pos="2160"/>
        </w:tabs>
        <w:kinsoku w:val="0"/>
        <w:overflowPunct w:val="0"/>
        <w:ind w:left="1440" w:right="1440"/>
        <w:textAlignment w:val="baseline"/>
        <w:rPr>
          <w:sz w:val="26"/>
          <w:szCs w:val="26"/>
        </w:rPr>
      </w:pPr>
      <w:r w:rsidRPr="00E951F4">
        <w:rPr>
          <w:sz w:val="26"/>
          <w:szCs w:val="26"/>
        </w:rPr>
        <w:t>If at any time the EG</w:t>
      </w:r>
      <w:r w:rsidR="00995034" w:rsidRPr="00E951F4">
        <w:rPr>
          <w:sz w:val="26"/>
          <w:szCs w:val="26"/>
        </w:rPr>
        <w:t>S</w:t>
      </w:r>
      <w:r w:rsidRPr="00E951F4">
        <w:rPr>
          <w:sz w:val="26"/>
          <w:szCs w:val="26"/>
        </w:rPr>
        <w:t>’s rate charged to a CAP customer would exceed the Company’s applicable residential PTC, the customer would be automatically unenrolled fr</w:t>
      </w:r>
      <w:r w:rsidR="00995034" w:rsidRPr="00E951F4">
        <w:rPr>
          <w:sz w:val="26"/>
          <w:szCs w:val="26"/>
        </w:rPr>
        <w:t>o</w:t>
      </w:r>
      <w:r w:rsidRPr="00E951F4">
        <w:rPr>
          <w:sz w:val="26"/>
          <w:szCs w:val="26"/>
        </w:rPr>
        <w:t>m the EGS and returned to default service within three business days.</w:t>
      </w:r>
    </w:p>
    <w:p w14:paraId="2CD23CB7" w14:textId="77777777" w:rsidR="00420A09" w:rsidRPr="00E951F4" w:rsidRDefault="00420A09" w:rsidP="00E951F4">
      <w:pPr>
        <w:pStyle w:val="ListParagraph"/>
        <w:tabs>
          <w:tab w:val="num" w:pos="2160"/>
        </w:tabs>
        <w:ind w:left="1440" w:right="1440"/>
        <w:rPr>
          <w:sz w:val="26"/>
          <w:szCs w:val="26"/>
        </w:rPr>
      </w:pPr>
    </w:p>
    <w:p w14:paraId="6643BE00" w14:textId="5F6FF453" w:rsidR="00ED384E" w:rsidRPr="00E951F4" w:rsidRDefault="00ED384E" w:rsidP="00E951F4">
      <w:pPr>
        <w:widowControl/>
        <w:numPr>
          <w:ilvl w:val="0"/>
          <w:numId w:val="11"/>
        </w:numPr>
        <w:tabs>
          <w:tab w:val="clear" w:pos="2016"/>
          <w:tab w:val="num" w:pos="2160"/>
        </w:tabs>
        <w:kinsoku w:val="0"/>
        <w:overflowPunct w:val="0"/>
        <w:ind w:left="1440" w:right="1440"/>
        <w:textAlignment w:val="baseline"/>
        <w:rPr>
          <w:sz w:val="26"/>
          <w:szCs w:val="26"/>
        </w:rPr>
      </w:pPr>
      <w:r w:rsidRPr="00E951F4">
        <w:rPr>
          <w:sz w:val="26"/>
          <w:szCs w:val="26"/>
        </w:rPr>
        <w:t>EGSs’ contracts with CAP customers also may not include early cancellation or termination fees, or fees for anything unrelated to electric supply service.</w:t>
      </w:r>
    </w:p>
    <w:p w14:paraId="56A4B68C" w14:textId="77777777" w:rsidR="00420A09" w:rsidRPr="00E951F4" w:rsidRDefault="00420A09" w:rsidP="00E951F4">
      <w:pPr>
        <w:pStyle w:val="ListParagraph"/>
        <w:tabs>
          <w:tab w:val="num" w:pos="2160"/>
        </w:tabs>
        <w:ind w:left="1440" w:right="1440"/>
        <w:rPr>
          <w:sz w:val="26"/>
          <w:szCs w:val="26"/>
        </w:rPr>
      </w:pPr>
    </w:p>
    <w:p w14:paraId="4FDCF8B7" w14:textId="787016C7" w:rsidR="00ED384E" w:rsidRPr="00E951F4" w:rsidRDefault="00ED384E" w:rsidP="00E951F4">
      <w:pPr>
        <w:widowControl/>
        <w:numPr>
          <w:ilvl w:val="0"/>
          <w:numId w:val="11"/>
        </w:numPr>
        <w:tabs>
          <w:tab w:val="clear" w:pos="2016"/>
          <w:tab w:val="num" w:pos="2160"/>
        </w:tabs>
        <w:kinsoku w:val="0"/>
        <w:overflowPunct w:val="0"/>
        <w:ind w:left="1440" w:right="1440"/>
        <w:textAlignment w:val="baseline"/>
        <w:rPr>
          <w:sz w:val="26"/>
          <w:szCs w:val="26"/>
        </w:rPr>
      </w:pPr>
      <w:r w:rsidRPr="00E951F4">
        <w:rPr>
          <w:sz w:val="26"/>
          <w:szCs w:val="26"/>
        </w:rPr>
        <w:t>At the expiration of a CAP customer’s contract with an EGS, the customer may renew the contract with his or her existing EGS at a new Program-compliant rate, switch to another supplier offering a Program-compliant rate, or return to default service.</w:t>
      </w:r>
    </w:p>
    <w:p w14:paraId="7F26C88D" w14:textId="77777777" w:rsidR="004E04E5" w:rsidRPr="00E951F4" w:rsidRDefault="004E04E5" w:rsidP="00E951F4">
      <w:pPr>
        <w:widowControl/>
        <w:kinsoku w:val="0"/>
        <w:overflowPunct w:val="0"/>
        <w:ind w:left="1440" w:right="1440"/>
        <w:textAlignment w:val="baseline"/>
        <w:rPr>
          <w:sz w:val="26"/>
          <w:szCs w:val="26"/>
        </w:rPr>
      </w:pPr>
    </w:p>
    <w:p w14:paraId="2F2C17BA" w14:textId="558E1E39" w:rsidR="00ED384E" w:rsidRPr="00E951F4" w:rsidRDefault="00ED384E" w:rsidP="00E951F4">
      <w:pPr>
        <w:pStyle w:val="ListParagraph"/>
        <w:numPr>
          <w:ilvl w:val="0"/>
          <w:numId w:val="12"/>
        </w:numPr>
        <w:tabs>
          <w:tab w:val="clear" w:pos="2016"/>
          <w:tab w:val="num" w:pos="2160"/>
        </w:tabs>
        <w:kinsoku w:val="0"/>
        <w:overflowPunct w:val="0"/>
        <w:ind w:left="1440" w:right="1440"/>
        <w:textAlignment w:val="baseline"/>
        <w:rPr>
          <w:sz w:val="26"/>
          <w:szCs w:val="26"/>
        </w:rPr>
      </w:pPr>
      <w:r w:rsidRPr="00E951F4">
        <w:rPr>
          <w:sz w:val="26"/>
          <w:szCs w:val="26"/>
        </w:rPr>
        <w:t>Where an EGS seeks to enter into a new contract or revise an existing contract with a CAP customer, it must comply with the Commission’s notice regulations at 52 Pa. Code § 54.10.</w:t>
      </w:r>
    </w:p>
    <w:p w14:paraId="482A661F" w14:textId="77777777" w:rsidR="00420A09" w:rsidRPr="00E951F4" w:rsidRDefault="00420A09" w:rsidP="00E951F4">
      <w:pPr>
        <w:widowControl/>
        <w:tabs>
          <w:tab w:val="num" w:pos="2160"/>
        </w:tabs>
        <w:kinsoku w:val="0"/>
        <w:overflowPunct w:val="0"/>
        <w:ind w:left="1440" w:right="1440"/>
        <w:textAlignment w:val="baseline"/>
        <w:rPr>
          <w:sz w:val="26"/>
          <w:szCs w:val="26"/>
        </w:rPr>
      </w:pPr>
    </w:p>
    <w:p w14:paraId="4996FCE2" w14:textId="5FD167F8" w:rsidR="00ED384E" w:rsidRPr="00E951F4" w:rsidRDefault="00ED384E" w:rsidP="00E951F4">
      <w:pPr>
        <w:widowControl/>
        <w:numPr>
          <w:ilvl w:val="0"/>
          <w:numId w:val="12"/>
        </w:numPr>
        <w:tabs>
          <w:tab w:val="clear" w:pos="2016"/>
          <w:tab w:val="num" w:pos="2160"/>
        </w:tabs>
        <w:kinsoku w:val="0"/>
        <w:overflowPunct w:val="0"/>
        <w:ind w:left="1440" w:right="1440"/>
        <w:textAlignment w:val="baseline"/>
        <w:rPr>
          <w:sz w:val="26"/>
          <w:szCs w:val="26"/>
        </w:rPr>
      </w:pPr>
      <w:r w:rsidRPr="00E951F4">
        <w:rPr>
          <w:sz w:val="26"/>
          <w:szCs w:val="26"/>
        </w:rPr>
        <w:t>Where an EGS elects to return a CAP customer to default service upon contract expiration or cancellation, the contract cancellation and notice provisions described in the EGS’s disclosure statement will apply.</w:t>
      </w:r>
    </w:p>
    <w:p w14:paraId="40703A6D" w14:textId="2B0DE013" w:rsidR="00ED384E" w:rsidRPr="00E951F4" w:rsidRDefault="00ED384E" w:rsidP="00E951F4">
      <w:pPr>
        <w:keepNext/>
        <w:widowControl/>
        <w:numPr>
          <w:ilvl w:val="0"/>
          <w:numId w:val="12"/>
        </w:numPr>
        <w:tabs>
          <w:tab w:val="clear" w:pos="2016"/>
          <w:tab w:val="num" w:pos="2160"/>
        </w:tabs>
        <w:kinsoku w:val="0"/>
        <w:overflowPunct w:val="0"/>
        <w:ind w:left="1440" w:right="1440"/>
        <w:textAlignment w:val="baseline"/>
        <w:rPr>
          <w:sz w:val="26"/>
          <w:szCs w:val="26"/>
        </w:rPr>
      </w:pPr>
      <w:r w:rsidRPr="00E951F4">
        <w:rPr>
          <w:sz w:val="26"/>
          <w:szCs w:val="26"/>
        </w:rPr>
        <w:lastRenderedPageBreak/>
        <w:t>If the EGS disclosure does not address cancellation and notices, the EGS must provide at least one notice fifteen days in advance of discontinuing service to the customer.</w:t>
      </w:r>
    </w:p>
    <w:p w14:paraId="4E5A0AB9" w14:textId="77777777" w:rsidR="00A3686B" w:rsidRPr="00E951F4" w:rsidRDefault="00A3686B" w:rsidP="00171FD8">
      <w:pPr>
        <w:keepNext/>
        <w:widowControl/>
        <w:kinsoku w:val="0"/>
        <w:overflowPunct w:val="0"/>
        <w:spacing w:line="360" w:lineRule="auto"/>
        <w:ind w:left="1440" w:right="1440"/>
        <w:textAlignment w:val="baseline"/>
        <w:rPr>
          <w:sz w:val="26"/>
          <w:szCs w:val="26"/>
        </w:rPr>
      </w:pPr>
    </w:p>
    <w:p w14:paraId="4FFA0233" w14:textId="59996922" w:rsidR="00433B02" w:rsidRPr="00E951F4" w:rsidRDefault="00DF47EE" w:rsidP="00171FD8">
      <w:pPr>
        <w:keepNext/>
        <w:widowControl/>
        <w:kinsoku w:val="0"/>
        <w:overflowPunct w:val="0"/>
        <w:spacing w:line="360" w:lineRule="auto"/>
        <w:ind w:right="864"/>
        <w:textAlignment w:val="baseline"/>
        <w:rPr>
          <w:sz w:val="26"/>
          <w:szCs w:val="26"/>
        </w:rPr>
      </w:pPr>
      <w:r w:rsidRPr="00E951F4">
        <w:rPr>
          <w:sz w:val="26"/>
          <w:szCs w:val="26"/>
        </w:rPr>
        <w:t xml:space="preserve">Duquesne Light DSP IX at ¶¶ </w:t>
      </w:r>
      <w:r w:rsidR="00FF2F34" w:rsidRPr="00E951F4">
        <w:rPr>
          <w:sz w:val="26"/>
          <w:szCs w:val="26"/>
        </w:rPr>
        <w:t>69, 70</w:t>
      </w:r>
      <w:r w:rsidR="0085087A" w:rsidRPr="00E951F4">
        <w:rPr>
          <w:sz w:val="26"/>
          <w:szCs w:val="26"/>
        </w:rPr>
        <w:t>;</w:t>
      </w:r>
      <w:r w:rsidR="00FF2F34" w:rsidRPr="00E951F4">
        <w:rPr>
          <w:sz w:val="26"/>
          <w:szCs w:val="26"/>
        </w:rPr>
        <w:t xml:space="preserve"> </w:t>
      </w:r>
      <w:r w:rsidR="00433B02" w:rsidRPr="00E951F4">
        <w:rPr>
          <w:sz w:val="26"/>
          <w:szCs w:val="26"/>
        </w:rPr>
        <w:t xml:space="preserve">Duquesne Light </w:t>
      </w:r>
      <w:r w:rsidR="00FC4494" w:rsidRPr="00E951F4">
        <w:rPr>
          <w:sz w:val="26"/>
          <w:szCs w:val="26"/>
        </w:rPr>
        <w:t>St. 5 at 14</w:t>
      </w:r>
      <w:r w:rsidR="00441F97" w:rsidRPr="00E951F4">
        <w:rPr>
          <w:sz w:val="26"/>
          <w:szCs w:val="26"/>
        </w:rPr>
        <w:t xml:space="preserve">; Duquesne Light </w:t>
      </w:r>
      <w:r w:rsidR="00433B02" w:rsidRPr="00E951F4">
        <w:rPr>
          <w:sz w:val="26"/>
          <w:szCs w:val="26"/>
        </w:rPr>
        <w:t>M.B. at</w:t>
      </w:r>
      <w:r w:rsidR="00441F97" w:rsidRPr="00E951F4">
        <w:rPr>
          <w:sz w:val="26"/>
          <w:szCs w:val="26"/>
        </w:rPr>
        <w:t xml:space="preserve"> 42.  </w:t>
      </w:r>
      <w:r w:rsidR="00433B02" w:rsidRPr="00E951F4">
        <w:rPr>
          <w:sz w:val="26"/>
          <w:szCs w:val="26"/>
        </w:rPr>
        <w:t xml:space="preserve"> </w:t>
      </w:r>
    </w:p>
    <w:p w14:paraId="11B933B8" w14:textId="77777777" w:rsidR="0085087A" w:rsidRPr="00E951F4" w:rsidRDefault="0085087A" w:rsidP="00171FD8">
      <w:pPr>
        <w:widowControl/>
        <w:kinsoku w:val="0"/>
        <w:overflowPunct w:val="0"/>
        <w:spacing w:line="360" w:lineRule="auto"/>
        <w:ind w:firstLine="1440"/>
        <w:textAlignment w:val="baseline"/>
        <w:rPr>
          <w:sz w:val="26"/>
          <w:szCs w:val="26"/>
        </w:rPr>
      </w:pPr>
    </w:p>
    <w:p w14:paraId="010349FD" w14:textId="19AF8D4B" w:rsidR="00ED384E" w:rsidRPr="00E951F4" w:rsidRDefault="00ED384E" w:rsidP="00171FD8">
      <w:pPr>
        <w:widowControl/>
        <w:kinsoku w:val="0"/>
        <w:overflowPunct w:val="0"/>
        <w:spacing w:line="360" w:lineRule="auto"/>
        <w:ind w:firstLine="1440"/>
        <w:textAlignment w:val="baseline"/>
        <w:rPr>
          <w:sz w:val="26"/>
          <w:szCs w:val="26"/>
        </w:rPr>
      </w:pPr>
      <w:r w:rsidRPr="00E951F4">
        <w:rPr>
          <w:sz w:val="26"/>
          <w:szCs w:val="26"/>
        </w:rPr>
        <w:t xml:space="preserve">Duquesne Light </w:t>
      </w:r>
      <w:r w:rsidR="00441F97" w:rsidRPr="00E951F4">
        <w:rPr>
          <w:sz w:val="26"/>
          <w:szCs w:val="26"/>
        </w:rPr>
        <w:t>state</w:t>
      </w:r>
      <w:r w:rsidRPr="00E951F4">
        <w:rPr>
          <w:sz w:val="26"/>
          <w:szCs w:val="26"/>
        </w:rPr>
        <w:t xml:space="preserve">d that implementing CAP shopping would require modifications to the Company’s billing system </w:t>
      </w:r>
      <w:r w:rsidR="00C448D6" w:rsidRPr="00E951F4">
        <w:rPr>
          <w:sz w:val="26"/>
          <w:szCs w:val="26"/>
        </w:rPr>
        <w:t xml:space="preserve">that would </w:t>
      </w:r>
      <w:r w:rsidRPr="00E951F4">
        <w:rPr>
          <w:sz w:val="26"/>
          <w:szCs w:val="26"/>
        </w:rPr>
        <w:t>cost approximately $160,000.</w:t>
      </w:r>
      <w:r w:rsidR="005E0B63" w:rsidRPr="00E951F4">
        <w:rPr>
          <w:sz w:val="26"/>
          <w:szCs w:val="26"/>
        </w:rPr>
        <w:t xml:space="preserve">  Duquesne Light DSP IX at ¶ 71.</w:t>
      </w:r>
      <w:r w:rsidR="00C448D6" w:rsidRPr="00E951F4">
        <w:rPr>
          <w:sz w:val="26"/>
          <w:szCs w:val="26"/>
        </w:rPr>
        <w:t xml:space="preserve"> </w:t>
      </w:r>
      <w:r w:rsidR="005E0B63" w:rsidRPr="00E951F4">
        <w:rPr>
          <w:sz w:val="26"/>
          <w:szCs w:val="26"/>
        </w:rPr>
        <w:t xml:space="preserve"> </w:t>
      </w:r>
      <w:r w:rsidRPr="00E951F4">
        <w:rPr>
          <w:sz w:val="26"/>
          <w:szCs w:val="26"/>
        </w:rPr>
        <w:t>The Company proposed to recover the capital portion of these costs, approximately $120,000, through base rates and the expense portion through the Universal Service Charge.</w:t>
      </w:r>
      <w:r w:rsidR="00842CFF" w:rsidRPr="00E951F4">
        <w:rPr>
          <w:sz w:val="26"/>
          <w:szCs w:val="26"/>
        </w:rPr>
        <w:t xml:space="preserve">  Duquesne Light St. 5 at 18-19; Duquesne Light M.B. at</w:t>
      </w:r>
      <w:r w:rsidR="00A812F8">
        <w:rPr>
          <w:sz w:val="26"/>
          <w:szCs w:val="26"/>
        </w:rPr>
        <w:t> </w:t>
      </w:r>
      <w:r w:rsidR="00842CFF" w:rsidRPr="00E951F4">
        <w:rPr>
          <w:sz w:val="26"/>
          <w:szCs w:val="26"/>
        </w:rPr>
        <w:t>42</w:t>
      </w:r>
      <w:r w:rsidR="00C25AD0" w:rsidRPr="00E951F4">
        <w:rPr>
          <w:sz w:val="26"/>
          <w:szCs w:val="26"/>
        </w:rPr>
        <w:t>-43</w:t>
      </w:r>
      <w:r w:rsidR="00842CFF" w:rsidRPr="00E951F4">
        <w:rPr>
          <w:sz w:val="26"/>
          <w:szCs w:val="26"/>
        </w:rPr>
        <w:t xml:space="preserve">. </w:t>
      </w:r>
      <w:r w:rsidR="00C25AD0" w:rsidRPr="00E951F4">
        <w:rPr>
          <w:sz w:val="26"/>
          <w:szCs w:val="26"/>
        </w:rPr>
        <w:t xml:space="preserve"> Additionally</w:t>
      </w:r>
      <w:r w:rsidRPr="00E951F4">
        <w:rPr>
          <w:sz w:val="26"/>
          <w:szCs w:val="26"/>
        </w:rPr>
        <w:t xml:space="preserve">, in order to avoid unnecessary costs, the Company proposed to only implement the CAP Shopping Program upon receipt of CAP Notice Affidavit from </w:t>
      </w:r>
      <w:r w:rsidR="00A53AFB" w:rsidRPr="00E951F4">
        <w:rPr>
          <w:sz w:val="26"/>
          <w:szCs w:val="26"/>
        </w:rPr>
        <w:t>five</w:t>
      </w:r>
      <w:r w:rsidRPr="00E951F4">
        <w:rPr>
          <w:sz w:val="26"/>
          <w:szCs w:val="26"/>
        </w:rPr>
        <w:t xml:space="preserve"> EGSs indicating their interest (not obligation) to market to and enroll CAP customers.</w:t>
      </w:r>
      <w:r w:rsidR="00A53AFB" w:rsidRPr="00E951F4">
        <w:rPr>
          <w:sz w:val="26"/>
          <w:szCs w:val="26"/>
        </w:rPr>
        <w:t xml:space="preserve">  </w:t>
      </w:r>
      <w:r w:rsidR="005E0B63" w:rsidRPr="00E951F4">
        <w:rPr>
          <w:sz w:val="26"/>
          <w:szCs w:val="26"/>
        </w:rPr>
        <w:t xml:space="preserve">Duquesne Light DSP IX at ¶ 71; </w:t>
      </w:r>
      <w:r w:rsidR="00A53AFB" w:rsidRPr="00E951F4">
        <w:rPr>
          <w:sz w:val="26"/>
          <w:szCs w:val="26"/>
        </w:rPr>
        <w:t>Duquesne Light M.B. at 43.</w:t>
      </w:r>
    </w:p>
    <w:p w14:paraId="5D6AA9F6" w14:textId="77777777" w:rsidR="007E72F0" w:rsidRPr="00E951F4" w:rsidRDefault="007E72F0" w:rsidP="00E951F4">
      <w:pPr>
        <w:widowControl/>
        <w:kinsoku w:val="0"/>
        <w:overflowPunct w:val="0"/>
        <w:spacing w:line="360" w:lineRule="auto"/>
        <w:ind w:firstLine="1440"/>
        <w:textAlignment w:val="baseline"/>
        <w:rPr>
          <w:sz w:val="26"/>
          <w:szCs w:val="26"/>
        </w:rPr>
      </w:pPr>
    </w:p>
    <w:p w14:paraId="34238B27" w14:textId="2BEBA464" w:rsidR="00880382" w:rsidRPr="00E951F4" w:rsidRDefault="00880382" w:rsidP="00E951F4">
      <w:pPr>
        <w:keepNext/>
        <w:widowControl/>
        <w:ind w:left="720" w:firstLine="720"/>
        <w:rPr>
          <w:sz w:val="26"/>
          <w:szCs w:val="26"/>
        </w:rPr>
      </w:pPr>
      <w:r w:rsidRPr="00E951F4">
        <w:rPr>
          <w:b/>
          <w:bCs/>
          <w:sz w:val="26"/>
          <w:szCs w:val="26"/>
        </w:rPr>
        <w:t>OCA</w:t>
      </w:r>
    </w:p>
    <w:p w14:paraId="18FED495" w14:textId="77777777" w:rsidR="00880382" w:rsidRPr="00E951F4" w:rsidRDefault="00880382" w:rsidP="00E951F4">
      <w:pPr>
        <w:keepNext/>
        <w:widowControl/>
        <w:kinsoku w:val="0"/>
        <w:overflowPunct w:val="0"/>
        <w:spacing w:line="360" w:lineRule="auto"/>
        <w:ind w:left="144" w:right="216" w:firstLine="1296"/>
        <w:textAlignment w:val="baseline"/>
        <w:rPr>
          <w:sz w:val="26"/>
          <w:szCs w:val="26"/>
        </w:rPr>
      </w:pPr>
    </w:p>
    <w:p w14:paraId="2219EB35" w14:textId="47F5344E" w:rsidR="00880382" w:rsidRPr="00E951F4" w:rsidRDefault="00880382" w:rsidP="00E951F4">
      <w:pPr>
        <w:keepNext/>
        <w:widowControl/>
        <w:kinsoku w:val="0"/>
        <w:overflowPunct w:val="0"/>
        <w:spacing w:line="360" w:lineRule="auto"/>
        <w:ind w:right="216" w:firstLine="1440"/>
        <w:textAlignment w:val="baseline"/>
        <w:rPr>
          <w:sz w:val="26"/>
          <w:szCs w:val="26"/>
        </w:rPr>
      </w:pPr>
      <w:r w:rsidRPr="00E951F4">
        <w:rPr>
          <w:sz w:val="26"/>
          <w:szCs w:val="26"/>
        </w:rPr>
        <w:t xml:space="preserve">The OCA supported the CAP Shopping program Duquesne Light proposed, but provided some suggestions for improvements to the implementation of the program.  These suggestions concerned educational materials for </w:t>
      </w:r>
      <w:r w:rsidR="004F0D91" w:rsidRPr="00E951F4">
        <w:rPr>
          <w:sz w:val="26"/>
          <w:szCs w:val="26"/>
        </w:rPr>
        <w:t xml:space="preserve">the </w:t>
      </w:r>
      <w:r w:rsidRPr="00E951F4">
        <w:rPr>
          <w:sz w:val="26"/>
          <w:szCs w:val="26"/>
        </w:rPr>
        <w:t xml:space="preserve">CAP customers; revisions to the CAP Shopping Program if the number of participating suppliers drops below five over a period of time; and recovering implementation costs for the program from EGSs as a way of testing the EGSs’ commitments to participate in the program.  OCA St. 2 at 19-20.  </w:t>
      </w:r>
    </w:p>
    <w:p w14:paraId="57610347" w14:textId="77777777" w:rsidR="00880382" w:rsidRPr="00E951F4" w:rsidRDefault="00880382" w:rsidP="00E951F4">
      <w:pPr>
        <w:widowControl/>
        <w:kinsoku w:val="0"/>
        <w:overflowPunct w:val="0"/>
        <w:spacing w:line="360" w:lineRule="auto"/>
        <w:ind w:left="144" w:right="216" w:firstLine="1296"/>
        <w:textAlignment w:val="baseline"/>
        <w:rPr>
          <w:sz w:val="26"/>
          <w:szCs w:val="26"/>
        </w:rPr>
      </w:pPr>
    </w:p>
    <w:p w14:paraId="2514A8B6" w14:textId="7AA5D5A6" w:rsidR="00EC3121" w:rsidRPr="00E951F4" w:rsidRDefault="00880382" w:rsidP="00E951F4">
      <w:pPr>
        <w:widowControl/>
        <w:kinsoku w:val="0"/>
        <w:overflowPunct w:val="0"/>
        <w:spacing w:line="360" w:lineRule="auto"/>
        <w:ind w:right="216" w:firstLine="1440"/>
        <w:textAlignment w:val="baseline"/>
        <w:rPr>
          <w:sz w:val="26"/>
          <w:szCs w:val="26"/>
        </w:rPr>
      </w:pPr>
      <w:r w:rsidRPr="00E951F4">
        <w:rPr>
          <w:sz w:val="26"/>
          <w:szCs w:val="26"/>
        </w:rPr>
        <w:t xml:space="preserve">The OCA also supported the CAP Shopping Stipulation as an exercise in administrative economy.  The OCA recognized that litigation on the proposal would inevitably lead to litigation of the same issues litigated in </w:t>
      </w:r>
      <w:r w:rsidR="00D6290E" w:rsidRPr="00E951F4">
        <w:rPr>
          <w:i/>
          <w:iCs/>
          <w:sz w:val="26"/>
          <w:szCs w:val="26"/>
        </w:rPr>
        <w:t>Petition of PPL Electric</w:t>
      </w:r>
      <w:r w:rsidR="003617F2" w:rsidRPr="00E951F4">
        <w:rPr>
          <w:i/>
          <w:iCs/>
          <w:sz w:val="26"/>
          <w:szCs w:val="26"/>
        </w:rPr>
        <w:t xml:space="preserve"> </w:t>
      </w:r>
      <w:r w:rsidR="003617F2" w:rsidRPr="00E951F4">
        <w:rPr>
          <w:i/>
          <w:iCs/>
          <w:sz w:val="26"/>
          <w:szCs w:val="26"/>
        </w:rPr>
        <w:lastRenderedPageBreak/>
        <w:t xml:space="preserve">Utilities Corporation </w:t>
      </w:r>
      <w:r w:rsidR="003A0DB4" w:rsidRPr="00E951F4">
        <w:rPr>
          <w:i/>
          <w:iCs/>
          <w:sz w:val="26"/>
          <w:szCs w:val="26"/>
        </w:rPr>
        <w:t>for Approval of its Default Service Plan for the Period June 1, 2021 through May 31, 2025</w:t>
      </w:r>
      <w:r w:rsidR="003A0DB4" w:rsidRPr="00E951F4">
        <w:rPr>
          <w:sz w:val="26"/>
          <w:szCs w:val="26"/>
        </w:rPr>
        <w:t>, Docket No. P-2020-</w:t>
      </w:r>
      <w:r w:rsidR="003E1DC7" w:rsidRPr="00E951F4">
        <w:rPr>
          <w:sz w:val="26"/>
          <w:szCs w:val="26"/>
        </w:rPr>
        <w:t>3019356 (Order entered December</w:t>
      </w:r>
      <w:r w:rsidR="00A812F8">
        <w:rPr>
          <w:sz w:val="26"/>
          <w:szCs w:val="26"/>
        </w:rPr>
        <w:t> </w:t>
      </w:r>
      <w:r w:rsidR="003E1DC7" w:rsidRPr="00E951F4">
        <w:rPr>
          <w:sz w:val="26"/>
          <w:szCs w:val="26"/>
        </w:rPr>
        <w:t>17, 2020) (</w:t>
      </w:r>
      <w:r w:rsidR="003E1DC7" w:rsidRPr="00E951F4">
        <w:rPr>
          <w:i/>
          <w:iCs/>
          <w:sz w:val="26"/>
          <w:szCs w:val="26"/>
        </w:rPr>
        <w:t>PPL DSP Proceeding</w:t>
      </w:r>
      <w:r w:rsidR="003E1DC7" w:rsidRPr="00E951F4">
        <w:rPr>
          <w:sz w:val="26"/>
          <w:szCs w:val="26"/>
        </w:rPr>
        <w:t>)</w:t>
      </w:r>
      <w:r w:rsidRPr="00E951F4">
        <w:rPr>
          <w:sz w:val="26"/>
          <w:szCs w:val="26"/>
        </w:rPr>
        <w:t xml:space="preserve">, and found it would be better to have the benefit of the Commission’s decision in the </w:t>
      </w:r>
      <w:r w:rsidRPr="00E951F4">
        <w:rPr>
          <w:i/>
          <w:iCs/>
          <w:sz w:val="26"/>
          <w:szCs w:val="26"/>
        </w:rPr>
        <w:t xml:space="preserve">PPL </w:t>
      </w:r>
      <w:r w:rsidR="006C0525" w:rsidRPr="00E951F4">
        <w:rPr>
          <w:i/>
          <w:iCs/>
          <w:sz w:val="26"/>
          <w:szCs w:val="26"/>
        </w:rPr>
        <w:t>DSP P</w:t>
      </w:r>
      <w:r w:rsidRPr="00E951F4">
        <w:rPr>
          <w:i/>
          <w:iCs/>
          <w:sz w:val="26"/>
          <w:szCs w:val="26"/>
        </w:rPr>
        <w:t>roceeding</w:t>
      </w:r>
      <w:r w:rsidRPr="00E951F4">
        <w:rPr>
          <w:sz w:val="26"/>
          <w:szCs w:val="26"/>
        </w:rPr>
        <w:t xml:space="preserve"> before reaching a conclusion on Duquesne Light’s CAP shopping proposal.  The OCA also argued that the CAP Shopping Stipulation is superior to the EGS Parties’ proposals because th</w:t>
      </w:r>
      <w:r w:rsidR="006C0525" w:rsidRPr="00E951F4">
        <w:rPr>
          <w:sz w:val="26"/>
          <w:szCs w:val="26"/>
        </w:rPr>
        <w:t>ose proposals</w:t>
      </w:r>
      <w:r w:rsidRPr="00E951F4">
        <w:rPr>
          <w:sz w:val="26"/>
          <w:szCs w:val="26"/>
        </w:rPr>
        <w:t xml:space="preserve"> do not adequately protect the vulnerable population of CAP customers.  </w:t>
      </w:r>
      <w:r w:rsidR="0023597D" w:rsidRPr="00E951F4">
        <w:rPr>
          <w:sz w:val="26"/>
          <w:szCs w:val="26"/>
        </w:rPr>
        <w:t>OCA</w:t>
      </w:r>
      <w:r w:rsidR="00A812F8">
        <w:rPr>
          <w:sz w:val="26"/>
          <w:szCs w:val="26"/>
        </w:rPr>
        <w:t> </w:t>
      </w:r>
      <w:r w:rsidR="0023597D" w:rsidRPr="00E951F4">
        <w:rPr>
          <w:sz w:val="26"/>
          <w:szCs w:val="26"/>
        </w:rPr>
        <w:t>M.B. at</w:t>
      </w:r>
      <w:r w:rsidR="004E04E5" w:rsidRPr="00E951F4">
        <w:rPr>
          <w:sz w:val="26"/>
          <w:szCs w:val="26"/>
        </w:rPr>
        <w:t> </w:t>
      </w:r>
      <w:r w:rsidR="0023597D" w:rsidRPr="00E951F4">
        <w:rPr>
          <w:sz w:val="26"/>
          <w:szCs w:val="26"/>
        </w:rPr>
        <w:t>18.</w:t>
      </w:r>
    </w:p>
    <w:p w14:paraId="3A0A5E56" w14:textId="77777777" w:rsidR="00EC3121" w:rsidRPr="00E951F4" w:rsidRDefault="00EC3121" w:rsidP="00E951F4">
      <w:pPr>
        <w:widowControl/>
        <w:kinsoku w:val="0"/>
        <w:overflowPunct w:val="0"/>
        <w:spacing w:line="360" w:lineRule="auto"/>
        <w:ind w:right="216"/>
        <w:textAlignment w:val="baseline"/>
        <w:rPr>
          <w:sz w:val="26"/>
          <w:szCs w:val="26"/>
        </w:rPr>
      </w:pPr>
    </w:p>
    <w:p w14:paraId="22E3A173" w14:textId="1E388E60" w:rsidR="00880382" w:rsidRPr="00E951F4" w:rsidRDefault="0023597D" w:rsidP="00E951F4">
      <w:pPr>
        <w:keepNext/>
        <w:widowControl/>
        <w:kinsoku w:val="0"/>
        <w:overflowPunct w:val="0"/>
        <w:spacing w:line="360" w:lineRule="auto"/>
        <w:ind w:right="216" w:firstLine="1440"/>
        <w:textAlignment w:val="baseline"/>
        <w:rPr>
          <w:b/>
          <w:bCs/>
          <w:sz w:val="26"/>
          <w:szCs w:val="26"/>
        </w:rPr>
      </w:pPr>
      <w:r w:rsidRPr="00E951F4">
        <w:rPr>
          <w:b/>
          <w:bCs/>
          <w:sz w:val="26"/>
          <w:szCs w:val="26"/>
        </w:rPr>
        <w:t>CAUSE-PA</w:t>
      </w:r>
    </w:p>
    <w:p w14:paraId="7ABAC479" w14:textId="77777777" w:rsidR="00EC3121" w:rsidRPr="00E951F4" w:rsidRDefault="00EC3121" w:rsidP="00E951F4">
      <w:pPr>
        <w:keepNext/>
        <w:widowControl/>
        <w:kinsoku w:val="0"/>
        <w:overflowPunct w:val="0"/>
        <w:spacing w:line="360" w:lineRule="auto"/>
        <w:ind w:right="216"/>
        <w:textAlignment w:val="baseline"/>
        <w:rPr>
          <w:sz w:val="26"/>
          <w:szCs w:val="26"/>
        </w:rPr>
      </w:pPr>
    </w:p>
    <w:p w14:paraId="6BB20017" w14:textId="20FDDF96" w:rsidR="00B621DD" w:rsidRPr="00E951F4" w:rsidRDefault="00ED384E" w:rsidP="00E951F4">
      <w:pPr>
        <w:keepNext/>
        <w:widowControl/>
        <w:kinsoku w:val="0"/>
        <w:overflowPunct w:val="0"/>
        <w:spacing w:line="360" w:lineRule="auto"/>
        <w:ind w:right="216" w:firstLine="1440"/>
        <w:textAlignment w:val="baseline"/>
        <w:rPr>
          <w:sz w:val="26"/>
          <w:szCs w:val="26"/>
        </w:rPr>
      </w:pPr>
      <w:r w:rsidRPr="00E951F4">
        <w:rPr>
          <w:sz w:val="26"/>
          <w:szCs w:val="26"/>
        </w:rPr>
        <w:t xml:space="preserve">CAUSE-PA </w:t>
      </w:r>
      <w:r w:rsidR="00164394" w:rsidRPr="00E951F4">
        <w:rPr>
          <w:sz w:val="26"/>
          <w:szCs w:val="26"/>
        </w:rPr>
        <w:t>state</w:t>
      </w:r>
      <w:r w:rsidR="0023597D" w:rsidRPr="00E951F4">
        <w:rPr>
          <w:sz w:val="26"/>
          <w:szCs w:val="26"/>
        </w:rPr>
        <w:t>d</w:t>
      </w:r>
      <w:r w:rsidR="00164394" w:rsidRPr="00E951F4">
        <w:rPr>
          <w:sz w:val="26"/>
          <w:szCs w:val="26"/>
        </w:rPr>
        <w:t xml:space="preserve"> that </w:t>
      </w:r>
      <w:r w:rsidR="00AB1F48" w:rsidRPr="00E951F4">
        <w:rPr>
          <w:sz w:val="26"/>
          <w:szCs w:val="26"/>
        </w:rPr>
        <w:t xml:space="preserve">the </w:t>
      </w:r>
      <w:r w:rsidR="00B51520" w:rsidRPr="00E951F4">
        <w:rPr>
          <w:sz w:val="26"/>
          <w:szCs w:val="26"/>
        </w:rPr>
        <w:t xml:space="preserve">CAP customers in Duquesne Light’s territory are currently protected from excessive </w:t>
      </w:r>
      <w:r w:rsidR="00097BAE" w:rsidRPr="00E951F4">
        <w:rPr>
          <w:sz w:val="26"/>
          <w:szCs w:val="26"/>
        </w:rPr>
        <w:t xml:space="preserve">prices in the competitive market and this status quo must continue.  </w:t>
      </w:r>
      <w:r w:rsidR="00974A3A" w:rsidRPr="00E951F4">
        <w:rPr>
          <w:sz w:val="26"/>
          <w:szCs w:val="26"/>
        </w:rPr>
        <w:t>CAUSE-PA emphasize</w:t>
      </w:r>
      <w:r w:rsidR="0023597D" w:rsidRPr="00E951F4">
        <w:rPr>
          <w:sz w:val="26"/>
          <w:szCs w:val="26"/>
        </w:rPr>
        <w:t>d</w:t>
      </w:r>
      <w:r w:rsidR="00974A3A" w:rsidRPr="00E951F4">
        <w:rPr>
          <w:sz w:val="26"/>
          <w:szCs w:val="26"/>
        </w:rPr>
        <w:t xml:space="preserve"> the consistent pattern of ex</w:t>
      </w:r>
      <w:r w:rsidR="002C1455" w:rsidRPr="00E951F4">
        <w:rPr>
          <w:sz w:val="26"/>
          <w:szCs w:val="26"/>
        </w:rPr>
        <w:t>cessive supplier pricing for residential and confirmed low</w:t>
      </w:r>
      <w:r w:rsidR="00980B41" w:rsidRPr="00E951F4">
        <w:rPr>
          <w:sz w:val="26"/>
          <w:szCs w:val="26"/>
        </w:rPr>
        <w:t>-</w:t>
      </w:r>
      <w:r w:rsidR="002C1455" w:rsidRPr="00E951F4">
        <w:rPr>
          <w:sz w:val="26"/>
          <w:szCs w:val="26"/>
        </w:rPr>
        <w:t xml:space="preserve">income customers.  </w:t>
      </w:r>
      <w:r w:rsidR="00097BAE" w:rsidRPr="00E951F4">
        <w:rPr>
          <w:sz w:val="26"/>
          <w:szCs w:val="26"/>
        </w:rPr>
        <w:t xml:space="preserve">CAUSE-PA M.B. at </w:t>
      </w:r>
      <w:r w:rsidR="007738D4" w:rsidRPr="00E951F4">
        <w:rPr>
          <w:sz w:val="26"/>
          <w:szCs w:val="26"/>
        </w:rPr>
        <w:t xml:space="preserve">9; CAUSE-PA St. 1 </w:t>
      </w:r>
      <w:r w:rsidR="00E95577" w:rsidRPr="00E951F4">
        <w:rPr>
          <w:sz w:val="26"/>
          <w:szCs w:val="26"/>
        </w:rPr>
        <w:t xml:space="preserve">at </w:t>
      </w:r>
      <w:r w:rsidR="00C7072C" w:rsidRPr="00E951F4">
        <w:rPr>
          <w:sz w:val="26"/>
          <w:szCs w:val="26"/>
        </w:rPr>
        <w:t>7-20; CAUSE-PA Exhs. 1, 2</w:t>
      </w:r>
      <w:r w:rsidR="00A4198E" w:rsidRPr="00E951F4">
        <w:rPr>
          <w:sz w:val="26"/>
          <w:szCs w:val="26"/>
        </w:rPr>
        <w:t xml:space="preserve">.  </w:t>
      </w:r>
      <w:r w:rsidR="00990197" w:rsidRPr="00E951F4">
        <w:rPr>
          <w:sz w:val="26"/>
          <w:szCs w:val="26"/>
        </w:rPr>
        <w:t>CAUSE-PA believe</w:t>
      </w:r>
      <w:r w:rsidR="00A65D11" w:rsidRPr="00E951F4">
        <w:rPr>
          <w:sz w:val="26"/>
          <w:szCs w:val="26"/>
        </w:rPr>
        <w:t>d</w:t>
      </w:r>
      <w:r w:rsidR="00990197" w:rsidRPr="00E951F4">
        <w:rPr>
          <w:sz w:val="26"/>
          <w:szCs w:val="26"/>
        </w:rPr>
        <w:t xml:space="preserve"> that </w:t>
      </w:r>
      <w:r w:rsidR="00AB1F48" w:rsidRPr="00E951F4">
        <w:rPr>
          <w:sz w:val="26"/>
          <w:szCs w:val="26"/>
        </w:rPr>
        <w:t xml:space="preserve">the </w:t>
      </w:r>
      <w:r w:rsidR="00990197" w:rsidRPr="00E951F4">
        <w:rPr>
          <w:sz w:val="26"/>
          <w:szCs w:val="26"/>
        </w:rPr>
        <w:t xml:space="preserve">CAP customers will </w:t>
      </w:r>
      <w:r w:rsidR="00D06A5B" w:rsidRPr="00E951F4">
        <w:rPr>
          <w:sz w:val="26"/>
          <w:szCs w:val="26"/>
        </w:rPr>
        <w:t xml:space="preserve">routinely exceed the PTC if allowed to shop for electric service in the competitive market.  CAUSE-PA M.B. at </w:t>
      </w:r>
      <w:r w:rsidR="00005BBA" w:rsidRPr="00E951F4">
        <w:rPr>
          <w:sz w:val="26"/>
          <w:szCs w:val="26"/>
        </w:rPr>
        <w:t xml:space="preserve">9; CAUSE-PA St. 1 at 44.  </w:t>
      </w:r>
      <w:r w:rsidR="009B73D8" w:rsidRPr="00E951F4">
        <w:rPr>
          <w:sz w:val="26"/>
          <w:szCs w:val="26"/>
        </w:rPr>
        <w:t>CAUSE-PA explain</w:t>
      </w:r>
      <w:r w:rsidR="00A65D11" w:rsidRPr="00E951F4">
        <w:rPr>
          <w:sz w:val="26"/>
          <w:szCs w:val="26"/>
        </w:rPr>
        <w:t>ed</w:t>
      </w:r>
      <w:r w:rsidR="009B73D8" w:rsidRPr="00E951F4">
        <w:rPr>
          <w:sz w:val="26"/>
          <w:szCs w:val="26"/>
        </w:rPr>
        <w:t xml:space="preserve"> that when a CAP customer exceeds </w:t>
      </w:r>
      <w:r w:rsidR="002273C2" w:rsidRPr="00E951F4">
        <w:rPr>
          <w:sz w:val="26"/>
          <w:szCs w:val="26"/>
        </w:rPr>
        <w:t xml:space="preserve">the PTC, the cost of CAP is also increased, and such increase is shouldered by other residential ratepayers that </w:t>
      </w:r>
      <w:r w:rsidR="005D2D4F" w:rsidRPr="00E951F4">
        <w:rPr>
          <w:sz w:val="26"/>
          <w:szCs w:val="26"/>
        </w:rPr>
        <w:t>subsidize the program.  CAUSE-PA</w:t>
      </w:r>
      <w:r w:rsidR="002273C2" w:rsidRPr="00E951F4">
        <w:rPr>
          <w:sz w:val="26"/>
          <w:szCs w:val="26"/>
        </w:rPr>
        <w:t xml:space="preserve"> </w:t>
      </w:r>
      <w:r w:rsidR="005D2D4F" w:rsidRPr="00E951F4">
        <w:rPr>
          <w:sz w:val="26"/>
          <w:szCs w:val="26"/>
        </w:rPr>
        <w:t xml:space="preserve">M.B. at </w:t>
      </w:r>
      <w:r w:rsidR="003B488A" w:rsidRPr="00E951F4">
        <w:rPr>
          <w:sz w:val="26"/>
          <w:szCs w:val="26"/>
        </w:rPr>
        <w:t xml:space="preserve">21.  </w:t>
      </w:r>
      <w:r w:rsidR="00050553" w:rsidRPr="00E951F4">
        <w:rPr>
          <w:sz w:val="26"/>
          <w:szCs w:val="26"/>
        </w:rPr>
        <w:t>CAUSE-PA expresse</w:t>
      </w:r>
      <w:r w:rsidR="00AD720F" w:rsidRPr="00E951F4">
        <w:rPr>
          <w:sz w:val="26"/>
          <w:szCs w:val="26"/>
        </w:rPr>
        <w:t>d</w:t>
      </w:r>
      <w:r w:rsidR="00050553" w:rsidRPr="00E951F4">
        <w:rPr>
          <w:sz w:val="26"/>
          <w:szCs w:val="26"/>
        </w:rPr>
        <w:t xml:space="preserve"> further concern that </w:t>
      </w:r>
      <w:r w:rsidR="00B155EE" w:rsidRPr="00E951F4">
        <w:rPr>
          <w:sz w:val="26"/>
          <w:szCs w:val="26"/>
        </w:rPr>
        <w:t xml:space="preserve">even carefully crafted shopping restrictions in the PPL Electric </w:t>
      </w:r>
      <w:r w:rsidR="00D35FC6" w:rsidRPr="00E951F4">
        <w:rPr>
          <w:sz w:val="26"/>
          <w:szCs w:val="26"/>
        </w:rPr>
        <w:t xml:space="preserve">Utilities Corporation </w:t>
      </w:r>
      <w:r w:rsidR="00365686" w:rsidRPr="00E951F4">
        <w:rPr>
          <w:sz w:val="26"/>
          <w:szCs w:val="26"/>
        </w:rPr>
        <w:t xml:space="preserve">(PPL Electric) </w:t>
      </w:r>
      <w:r w:rsidR="00B155EE" w:rsidRPr="00E951F4">
        <w:rPr>
          <w:sz w:val="26"/>
          <w:szCs w:val="26"/>
        </w:rPr>
        <w:t>and FirstEnergy service territories</w:t>
      </w:r>
      <w:r w:rsidR="00817535" w:rsidRPr="00E951F4">
        <w:rPr>
          <w:sz w:val="26"/>
          <w:szCs w:val="26"/>
        </w:rPr>
        <w:t xml:space="preserve"> have not succeeded in preventing excessive CAP shopping prices that </w:t>
      </w:r>
      <w:r w:rsidR="000A3157" w:rsidRPr="00E951F4">
        <w:rPr>
          <w:sz w:val="26"/>
          <w:szCs w:val="26"/>
        </w:rPr>
        <w:t>exceed the PTC due to holdover contracts for customers that were already shopping</w:t>
      </w:r>
      <w:r w:rsidR="003C3E69" w:rsidRPr="00E951F4">
        <w:rPr>
          <w:sz w:val="26"/>
          <w:szCs w:val="26"/>
        </w:rPr>
        <w:t xml:space="preserve"> and had a contract with an EGS when they entered CAP.  CAUSE-PA M.B. at 25; CAUSE-PA St. 1 at </w:t>
      </w:r>
      <w:r w:rsidR="00253278" w:rsidRPr="00E951F4">
        <w:rPr>
          <w:sz w:val="26"/>
          <w:szCs w:val="26"/>
        </w:rPr>
        <w:t>46-48.</w:t>
      </w:r>
      <w:r w:rsidR="003C3E69" w:rsidRPr="00E951F4">
        <w:rPr>
          <w:sz w:val="26"/>
          <w:szCs w:val="26"/>
        </w:rPr>
        <w:t xml:space="preserve"> </w:t>
      </w:r>
      <w:r w:rsidR="00817535" w:rsidRPr="00E951F4">
        <w:rPr>
          <w:sz w:val="26"/>
          <w:szCs w:val="26"/>
        </w:rPr>
        <w:t xml:space="preserve"> </w:t>
      </w:r>
      <w:r w:rsidR="003C3E69" w:rsidRPr="00E951F4">
        <w:rPr>
          <w:sz w:val="26"/>
          <w:szCs w:val="26"/>
        </w:rPr>
        <w:t>C</w:t>
      </w:r>
      <w:r w:rsidR="00542289" w:rsidRPr="00E951F4">
        <w:rPr>
          <w:sz w:val="26"/>
          <w:szCs w:val="26"/>
        </w:rPr>
        <w:t>AUSE-PA assert</w:t>
      </w:r>
      <w:r w:rsidR="00750984" w:rsidRPr="00E951F4">
        <w:rPr>
          <w:sz w:val="26"/>
          <w:szCs w:val="26"/>
        </w:rPr>
        <w:t>ed</w:t>
      </w:r>
      <w:r w:rsidR="00542289" w:rsidRPr="00E951F4">
        <w:rPr>
          <w:sz w:val="26"/>
          <w:szCs w:val="26"/>
        </w:rPr>
        <w:t xml:space="preserve"> that the only reasonable option on the record</w:t>
      </w:r>
      <w:r w:rsidR="00B23296" w:rsidRPr="00E951F4">
        <w:rPr>
          <w:sz w:val="26"/>
          <w:szCs w:val="26"/>
        </w:rPr>
        <w:t xml:space="preserve"> that is capable of preventing harm to low</w:t>
      </w:r>
      <w:r w:rsidR="00980B41" w:rsidRPr="00E951F4">
        <w:rPr>
          <w:sz w:val="26"/>
          <w:szCs w:val="26"/>
        </w:rPr>
        <w:t>-</w:t>
      </w:r>
      <w:r w:rsidR="00B23296" w:rsidRPr="00E951F4">
        <w:rPr>
          <w:sz w:val="26"/>
          <w:szCs w:val="26"/>
        </w:rPr>
        <w:t xml:space="preserve">income customers is </w:t>
      </w:r>
      <w:r w:rsidR="00C04F94" w:rsidRPr="00E951F4">
        <w:rPr>
          <w:sz w:val="26"/>
          <w:szCs w:val="26"/>
        </w:rPr>
        <w:t xml:space="preserve">to maintain Duquesne Light’s current prohibition on CAP shopping </w:t>
      </w:r>
      <w:r w:rsidR="00C04F94" w:rsidRPr="00E951F4">
        <w:rPr>
          <w:sz w:val="26"/>
          <w:szCs w:val="26"/>
        </w:rPr>
        <w:lastRenderedPageBreak/>
        <w:t xml:space="preserve">pending a resolution of the CAP shopping issues in the </w:t>
      </w:r>
      <w:r w:rsidR="00C04F94" w:rsidRPr="00E951F4">
        <w:rPr>
          <w:i/>
          <w:iCs/>
          <w:sz w:val="26"/>
          <w:szCs w:val="26"/>
        </w:rPr>
        <w:t xml:space="preserve">PPL DSP </w:t>
      </w:r>
      <w:r w:rsidR="006A2C7C" w:rsidRPr="00E951F4">
        <w:rPr>
          <w:i/>
          <w:iCs/>
          <w:sz w:val="26"/>
          <w:szCs w:val="26"/>
        </w:rPr>
        <w:t>P</w:t>
      </w:r>
      <w:r w:rsidR="00C04F94" w:rsidRPr="00E951F4">
        <w:rPr>
          <w:i/>
          <w:iCs/>
          <w:sz w:val="26"/>
          <w:szCs w:val="26"/>
        </w:rPr>
        <w:t>roceeding</w:t>
      </w:r>
      <w:r w:rsidR="00C04F94" w:rsidRPr="00E951F4">
        <w:rPr>
          <w:sz w:val="26"/>
          <w:szCs w:val="26"/>
        </w:rPr>
        <w:t>.</w:t>
      </w:r>
      <w:r w:rsidR="00CF755D" w:rsidRPr="00E951F4">
        <w:rPr>
          <w:sz w:val="26"/>
          <w:szCs w:val="26"/>
        </w:rPr>
        <w:t xml:space="preserve">  CAUSE-PA M.B. at 10</w:t>
      </w:r>
      <w:r w:rsidR="00EC1585" w:rsidRPr="00E951F4">
        <w:rPr>
          <w:sz w:val="26"/>
          <w:szCs w:val="26"/>
        </w:rPr>
        <w:t>, 30</w:t>
      </w:r>
      <w:r w:rsidR="00CF755D" w:rsidRPr="00E951F4">
        <w:rPr>
          <w:sz w:val="26"/>
          <w:szCs w:val="26"/>
        </w:rPr>
        <w:t>.</w:t>
      </w:r>
    </w:p>
    <w:p w14:paraId="33CA0227" w14:textId="18DB2291" w:rsidR="00880382" w:rsidRPr="00E951F4" w:rsidRDefault="00880382" w:rsidP="00E951F4">
      <w:pPr>
        <w:widowControl/>
        <w:kinsoku w:val="0"/>
        <w:overflowPunct w:val="0"/>
        <w:spacing w:line="360" w:lineRule="auto"/>
        <w:ind w:left="144" w:right="216" w:firstLine="1296"/>
        <w:textAlignment w:val="baseline"/>
        <w:rPr>
          <w:sz w:val="26"/>
          <w:szCs w:val="26"/>
        </w:rPr>
      </w:pPr>
    </w:p>
    <w:p w14:paraId="29C9D916" w14:textId="0A0E6946" w:rsidR="006A2C7C" w:rsidRPr="00E951F4" w:rsidRDefault="006A2C7C" w:rsidP="00E951F4">
      <w:pPr>
        <w:keepNext/>
        <w:keepLines/>
        <w:widowControl/>
        <w:spacing w:line="360" w:lineRule="auto"/>
        <w:ind w:left="720" w:firstLine="720"/>
        <w:rPr>
          <w:sz w:val="26"/>
          <w:szCs w:val="26"/>
        </w:rPr>
      </w:pPr>
      <w:r w:rsidRPr="00E951F4">
        <w:rPr>
          <w:b/>
          <w:bCs/>
          <w:sz w:val="26"/>
          <w:szCs w:val="26"/>
        </w:rPr>
        <w:t>EGS Parties</w:t>
      </w:r>
    </w:p>
    <w:p w14:paraId="64AE96C6" w14:textId="77777777" w:rsidR="006A2C7C" w:rsidRPr="00E951F4" w:rsidRDefault="006A2C7C" w:rsidP="00E951F4">
      <w:pPr>
        <w:keepNext/>
        <w:keepLines/>
        <w:widowControl/>
        <w:kinsoku w:val="0"/>
        <w:overflowPunct w:val="0"/>
        <w:spacing w:line="360" w:lineRule="auto"/>
        <w:ind w:left="144" w:right="216" w:firstLine="1296"/>
        <w:textAlignment w:val="baseline"/>
        <w:rPr>
          <w:sz w:val="26"/>
          <w:szCs w:val="26"/>
        </w:rPr>
      </w:pPr>
    </w:p>
    <w:p w14:paraId="4E35B2C5" w14:textId="46773F0E" w:rsidR="00ED384E" w:rsidRPr="00E951F4" w:rsidRDefault="007F6133" w:rsidP="00E951F4">
      <w:pPr>
        <w:keepNext/>
        <w:keepLines/>
        <w:widowControl/>
        <w:kinsoku w:val="0"/>
        <w:overflowPunct w:val="0"/>
        <w:spacing w:line="360" w:lineRule="auto"/>
        <w:ind w:right="216" w:firstLine="1440"/>
        <w:textAlignment w:val="baseline"/>
        <w:rPr>
          <w:sz w:val="26"/>
          <w:szCs w:val="26"/>
        </w:rPr>
      </w:pPr>
      <w:r w:rsidRPr="00E951F4">
        <w:rPr>
          <w:sz w:val="26"/>
          <w:szCs w:val="26"/>
        </w:rPr>
        <w:t xml:space="preserve">The EGS Parties </w:t>
      </w:r>
      <w:r w:rsidR="005B0197" w:rsidRPr="00E951F4">
        <w:rPr>
          <w:sz w:val="26"/>
          <w:szCs w:val="26"/>
        </w:rPr>
        <w:t xml:space="preserve">averred that Duquesne Light’s CAP Shopping proposal should be approved with </w:t>
      </w:r>
      <w:r w:rsidR="00000BCA" w:rsidRPr="00E951F4">
        <w:rPr>
          <w:sz w:val="26"/>
          <w:szCs w:val="26"/>
        </w:rPr>
        <w:t xml:space="preserve">minor modifications.  </w:t>
      </w:r>
      <w:r w:rsidR="00ED384E" w:rsidRPr="00E951F4">
        <w:rPr>
          <w:sz w:val="26"/>
          <w:szCs w:val="26"/>
        </w:rPr>
        <w:t xml:space="preserve">The EGS Parties </w:t>
      </w:r>
      <w:r w:rsidR="00000BCA" w:rsidRPr="00E951F4">
        <w:rPr>
          <w:sz w:val="26"/>
          <w:szCs w:val="26"/>
        </w:rPr>
        <w:t>state</w:t>
      </w:r>
      <w:r w:rsidR="00F2250B" w:rsidRPr="00E951F4">
        <w:rPr>
          <w:sz w:val="26"/>
          <w:szCs w:val="26"/>
        </w:rPr>
        <w:t>d</w:t>
      </w:r>
      <w:r w:rsidR="00ED384E" w:rsidRPr="00E951F4">
        <w:rPr>
          <w:sz w:val="26"/>
          <w:szCs w:val="26"/>
        </w:rPr>
        <w:t xml:space="preserve"> that when a CAP </w:t>
      </w:r>
      <w:r w:rsidR="00280D00" w:rsidRPr="00E951F4">
        <w:rPr>
          <w:sz w:val="26"/>
          <w:szCs w:val="26"/>
        </w:rPr>
        <w:t>customer</w:t>
      </w:r>
      <w:r w:rsidR="004E44CC" w:rsidRPr="00E951F4">
        <w:rPr>
          <w:sz w:val="26"/>
          <w:szCs w:val="26"/>
        </w:rPr>
        <w:t xml:space="preserve">’s </w:t>
      </w:r>
      <w:r w:rsidR="00ED384E" w:rsidRPr="00E951F4">
        <w:rPr>
          <w:sz w:val="26"/>
          <w:szCs w:val="26"/>
        </w:rPr>
        <w:t xml:space="preserve">shopping term expires, if the customer makes no affirmative choice, </w:t>
      </w:r>
      <w:r w:rsidR="001C5DA2" w:rsidRPr="00E951F4">
        <w:rPr>
          <w:sz w:val="26"/>
          <w:szCs w:val="26"/>
        </w:rPr>
        <w:t>then</w:t>
      </w:r>
      <w:r w:rsidR="00ED384E" w:rsidRPr="00E951F4">
        <w:rPr>
          <w:sz w:val="26"/>
          <w:szCs w:val="26"/>
        </w:rPr>
        <w:t xml:space="preserve"> the customer </w:t>
      </w:r>
      <w:r w:rsidR="00331471" w:rsidRPr="00E951F4">
        <w:rPr>
          <w:sz w:val="26"/>
          <w:szCs w:val="26"/>
        </w:rPr>
        <w:t xml:space="preserve">should </w:t>
      </w:r>
      <w:r w:rsidR="00ED384E" w:rsidRPr="00E951F4">
        <w:rPr>
          <w:sz w:val="26"/>
          <w:szCs w:val="26"/>
        </w:rPr>
        <w:t xml:space="preserve">continue to be served by its existing EGS at </w:t>
      </w:r>
      <w:r w:rsidR="007C5781" w:rsidRPr="00E951F4">
        <w:rPr>
          <w:sz w:val="26"/>
          <w:szCs w:val="26"/>
        </w:rPr>
        <w:t xml:space="preserve">a </w:t>
      </w:r>
      <w:r w:rsidR="00ED384E" w:rsidRPr="00E951F4">
        <w:rPr>
          <w:sz w:val="26"/>
          <w:szCs w:val="26"/>
        </w:rPr>
        <w:t>program</w:t>
      </w:r>
      <w:r w:rsidR="007C5781" w:rsidRPr="00E951F4">
        <w:rPr>
          <w:sz w:val="26"/>
          <w:szCs w:val="26"/>
        </w:rPr>
        <w:t>-</w:t>
      </w:r>
      <w:r w:rsidR="00ED384E" w:rsidRPr="00E951F4">
        <w:rPr>
          <w:sz w:val="26"/>
          <w:szCs w:val="26"/>
        </w:rPr>
        <w:t xml:space="preserve">compliant </w:t>
      </w:r>
      <w:r w:rsidR="007C5781" w:rsidRPr="00E951F4">
        <w:rPr>
          <w:sz w:val="26"/>
          <w:szCs w:val="26"/>
        </w:rPr>
        <w:t>price</w:t>
      </w:r>
      <w:r w:rsidR="00ED384E" w:rsidRPr="00E951F4">
        <w:rPr>
          <w:sz w:val="26"/>
          <w:szCs w:val="26"/>
        </w:rPr>
        <w:t xml:space="preserve">. </w:t>
      </w:r>
      <w:r w:rsidR="00331471" w:rsidRPr="00E951F4">
        <w:rPr>
          <w:sz w:val="26"/>
          <w:szCs w:val="26"/>
        </w:rPr>
        <w:t xml:space="preserve"> </w:t>
      </w:r>
      <w:r w:rsidR="00ED384E" w:rsidRPr="00E951F4">
        <w:rPr>
          <w:sz w:val="26"/>
          <w:szCs w:val="26"/>
        </w:rPr>
        <w:t xml:space="preserve">The EGS Parties also </w:t>
      </w:r>
      <w:r w:rsidR="00331471" w:rsidRPr="00E951F4">
        <w:rPr>
          <w:sz w:val="26"/>
          <w:szCs w:val="26"/>
        </w:rPr>
        <w:t xml:space="preserve">stated that the </w:t>
      </w:r>
      <w:r w:rsidR="00ED384E" w:rsidRPr="00E951F4">
        <w:rPr>
          <w:sz w:val="26"/>
          <w:szCs w:val="26"/>
        </w:rPr>
        <w:t xml:space="preserve">CAP </w:t>
      </w:r>
      <w:r w:rsidR="00AA7AFC" w:rsidRPr="00E951F4">
        <w:rPr>
          <w:sz w:val="26"/>
          <w:szCs w:val="26"/>
        </w:rPr>
        <w:t>S</w:t>
      </w:r>
      <w:r w:rsidR="00ED384E" w:rsidRPr="00E951F4">
        <w:rPr>
          <w:sz w:val="26"/>
          <w:szCs w:val="26"/>
        </w:rPr>
        <w:t xml:space="preserve">hopping proposal be clarified to allow CAP customers to participate in the </w:t>
      </w:r>
      <w:r w:rsidR="006A2C7C" w:rsidRPr="00E951F4">
        <w:rPr>
          <w:sz w:val="26"/>
          <w:szCs w:val="26"/>
        </w:rPr>
        <w:t xml:space="preserve">Company’s </w:t>
      </w:r>
      <w:r w:rsidR="00ED384E" w:rsidRPr="00E951F4">
        <w:rPr>
          <w:sz w:val="26"/>
          <w:szCs w:val="26"/>
        </w:rPr>
        <w:t>SOP, provided it is a CAP-compliant product.</w:t>
      </w:r>
      <w:r w:rsidR="005F6841" w:rsidRPr="00E951F4">
        <w:rPr>
          <w:sz w:val="26"/>
          <w:szCs w:val="26"/>
        </w:rPr>
        <w:t xml:space="preserve">  EGS </w:t>
      </w:r>
      <w:r w:rsidR="00FC1E02" w:rsidRPr="00E951F4">
        <w:rPr>
          <w:sz w:val="26"/>
          <w:szCs w:val="26"/>
        </w:rPr>
        <w:t xml:space="preserve">Parties St. 1 at </w:t>
      </w:r>
      <w:r w:rsidR="00840795" w:rsidRPr="00E951F4">
        <w:rPr>
          <w:sz w:val="26"/>
          <w:szCs w:val="26"/>
        </w:rPr>
        <w:t>17-</w:t>
      </w:r>
      <w:r w:rsidR="00FC1E02" w:rsidRPr="00E951F4">
        <w:rPr>
          <w:sz w:val="26"/>
          <w:szCs w:val="26"/>
        </w:rPr>
        <w:t>18</w:t>
      </w:r>
      <w:r w:rsidR="00687C9F" w:rsidRPr="00E951F4">
        <w:rPr>
          <w:sz w:val="26"/>
          <w:szCs w:val="26"/>
        </w:rPr>
        <w:t xml:space="preserve">; EGS </w:t>
      </w:r>
      <w:r w:rsidR="00887193" w:rsidRPr="00E951F4">
        <w:rPr>
          <w:sz w:val="26"/>
          <w:szCs w:val="26"/>
        </w:rPr>
        <w:t xml:space="preserve">Parties M.B. at </w:t>
      </w:r>
      <w:r w:rsidR="006775D6" w:rsidRPr="00E951F4">
        <w:rPr>
          <w:sz w:val="26"/>
          <w:szCs w:val="26"/>
        </w:rPr>
        <w:t>9-10</w:t>
      </w:r>
      <w:r w:rsidR="00FC1E02" w:rsidRPr="00E951F4">
        <w:rPr>
          <w:sz w:val="26"/>
          <w:szCs w:val="26"/>
        </w:rPr>
        <w:t>.</w:t>
      </w:r>
    </w:p>
    <w:p w14:paraId="237B3C60" w14:textId="49C7F42F" w:rsidR="00545A4B" w:rsidRPr="00E951F4" w:rsidRDefault="00545A4B" w:rsidP="00E951F4">
      <w:pPr>
        <w:widowControl/>
        <w:kinsoku w:val="0"/>
        <w:overflowPunct w:val="0"/>
        <w:spacing w:line="360" w:lineRule="auto"/>
        <w:ind w:left="144" w:right="216" w:firstLine="1296"/>
        <w:textAlignment w:val="baseline"/>
        <w:rPr>
          <w:sz w:val="26"/>
          <w:szCs w:val="26"/>
        </w:rPr>
      </w:pPr>
    </w:p>
    <w:p w14:paraId="16EF8997" w14:textId="48CE961C" w:rsidR="00545A4B" w:rsidRPr="00E951F4" w:rsidRDefault="00545A4B" w:rsidP="00E951F4">
      <w:pPr>
        <w:pStyle w:val="Heading3"/>
      </w:pPr>
      <w:bookmarkStart w:id="110" w:name="_Toc59620158"/>
      <w:bookmarkStart w:id="111" w:name="_Toc60912052"/>
      <w:r w:rsidRPr="00E951F4">
        <w:t>CAP Shopping Stipulation</w:t>
      </w:r>
      <w:bookmarkEnd w:id="110"/>
      <w:bookmarkEnd w:id="111"/>
    </w:p>
    <w:p w14:paraId="337DF419" w14:textId="020A35E2" w:rsidR="00545A4B" w:rsidRPr="00E951F4" w:rsidRDefault="00545A4B" w:rsidP="00E951F4">
      <w:pPr>
        <w:keepNext/>
        <w:widowControl/>
        <w:kinsoku w:val="0"/>
        <w:overflowPunct w:val="0"/>
        <w:spacing w:line="360" w:lineRule="auto"/>
        <w:ind w:left="144" w:right="216" w:firstLine="576"/>
        <w:textAlignment w:val="baseline"/>
        <w:rPr>
          <w:sz w:val="26"/>
          <w:szCs w:val="26"/>
        </w:rPr>
      </w:pPr>
    </w:p>
    <w:p w14:paraId="336C0000" w14:textId="64B8518D" w:rsidR="00AA6DC5" w:rsidRPr="00E951F4" w:rsidRDefault="001642DF" w:rsidP="00E951F4">
      <w:pPr>
        <w:keepNext/>
        <w:widowControl/>
        <w:tabs>
          <w:tab w:val="left" w:pos="1440"/>
        </w:tabs>
        <w:kinsoku w:val="0"/>
        <w:overflowPunct w:val="0"/>
        <w:spacing w:line="360" w:lineRule="auto"/>
        <w:ind w:right="216" w:firstLine="720"/>
        <w:textAlignment w:val="baseline"/>
        <w:rPr>
          <w:sz w:val="26"/>
          <w:szCs w:val="26"/>
        </w:rPr>
      </w:pPr>
      <w:r w:rsidRPr="00E951F4">
        <w:rPr>
          <w:sz w:val="26"/>
          <w:szCs w:val="26"/>
        </w:rPr>
        <w:tab/>
      </w:r>
      <w:r w:rsidR="009B69BB" w:rsidRPr="00E951F4">
        <w:rPr>
          <w:sz w:val="26"/>
          <w:szCs w:val="26"/>
        </w:rPr>
        <w:t>As previously noted, o</w:t>
      </w:r>
      <w:r w:rsidR="00AA6DC5" w:rsidRPr="00E951F4">
        <w:rPr>
          <w:sz w:val="26"/>
          <w:szCs w:val="26"/>
        </w:rPr>
        <w:t>n September 30, 2020, Duquesne Light</w:t>
      </w:r>
      <w:r w:rsidR="009B69BB" w:rsidRPr="00E951F4">
        <w:rPr>
          <w:sz w:val="26"/>
          <w:szCs w:val="26"/>
        </w:rPr>
        <w:t>,</w:t>
      </w:r>
      <w:r w:rsidR="00AA6DC5" w:rsidRPr="00E951F4">
        <w:rPr>
          <w:sz w:val="26"/>
          <w:szCs w:val="26"/>
        </w:rPr>
        <w:t xml:space="preserve"> </w:t>
      </w:r>
      <w:r w:rsidR="00C4447B" w:rsidRPr="00E951F4">
        <w:rPr>
          <w:sz w:val="26"/>
          <w:szCs w:val="26"/>
        </w:rPr>
        <w:t xml:space="preserve">the </w:t>
      </w:r>
      <w:r w:rsidR="00AA6DC5" w:rsidRPr="00E951F4">
        <w:rPr>
          <w:sz w:val="26"/>
          <w:szCs w:val="26"/>
        </w:rPr>
        <w:t>OCA</w:t>
      </w:r>
      <w:r w:rsidR="009B69BB" w:rsidRPr="00E951F4">
        <w:rPr>
          <w:sz w:val="26"/>
          <w:szCs w:val="26"/>
        </w:rPr>
        <w:t>,</w:t>
      </w:r>
      <w:r w:rsidR="00AA6DC5" w:rsidRPr="00E951F4">
        <w:rPr>
          <w:sz w:val="26"/>
          <w:szCs w:val="26"/>
        </w:rPr>
        <w:t xml:space="preserve"> and CAUSE-PA </w:t>
      </w:r>
      <w:r w:rsidR="00C87A92" w:rsidRPr="00E951F4">
        <w:rPr>
          <w:sz w:val="26"/>
          <w:szCs w:val="26"/>
        </w:rPr>
        <w:t xml:space="preserve">filed the CAP Shopping Stipulation.  </w:t>
      </w:r>
      <w:r w:rsidR="00AA6DC5" w:rsidRPr="00E951F4">
        <w:rPr>
          <w:sz w:val="26"/>
          <w:szCs w:val="26"/>
        </w:rPr>
        <w:t xml:space="preserve">The Stipulation provides </w:t>
      </w:r>
      <w:r w:rsidR="00C87A92" w:rsidRPr="00E951F4">
        <w:rPr>
          <w:sz w:val="26"/>
          <w:szCs w:val="26"/>
        </w:rPr>
        <w:t>the following:</w:t>
      </w:r>
    </w:p>
    <w:p w14:paraId="370BE47C" w14:textId="77777777" w:rsidR="00C87A92" w:rsidRPr="00E951F4" w:rsidRDefault="00C87A92" w:rsidP="00A812F8">
      <w:pPr>
        <w:widowControl/>
        <w:kinsoku w:val="0"/>
        <w:overflowPunct w:val="0"/>
        <w:ind w:left="144" w:right="216" w:firstLine="576"/>
        <w:textAlignment w:val="baseline"/>
        <w:rPr>
          <w:sz w:val="26"/>
          <w:szCs w:val="26"/>
        </w:rPr>
      </w:pPr>
    </w:p>
    <w:p w14:paraId="5148D1BF" w14:textId="34CF8415" w:rsidR="00AA6DC5" w:rsidRPr="00E951F4" w:rsidRDefault="00AA6DC5" w:rsidP="00E951F4">
      <w:pPr>
        <w:pStyle w:val="ListParagraph"/>
        <w:numPr>
          <w:ilvl w:val="0"/>
          <w:numId w:val="13"/>
        </w:numPr>
        <w:kinsoku w:val="0"/>
        <w:overflowPunct w:val="0"/>
        <w:ind w:left="1440" w:right="1440"/>
        <w:textAlignment w:val="baseline"/>
        <w:rPr>
          <w:sz w:val="26"/>
          <w:szCs w:val="26"/>
        </w:rPr>
      </w:pPr>
      <w:r w:rsidRPr="00E951F4">
        <w:rPr>
          <w:sz w:val="26"/>
          <w:szCs w:val="26"/>
        </w:rPr>
        <w:t>DLC’s CAP Shopping proposal is withdrawn.</w:t>
      </w:r>
    </w:p>
    <w:p w14:paraId="39560A22" w14:textId="77777777" w:rsidR="00C87A92" w:rsidRPr="00E951F4" w:rsidRDefault="00C87A92" w:rsidP="00E951F4">
      <w:pPr>
        <w:widowControl/>
        <w:kinsoku w:val="0"/>
        <w:overflowPunct w:val="0"/>
        <w:ind w:left="1440" w:right="1440"/>
        <w:textAlignment w:val="baseline"/>
        <w:rPr>
          <w:sz w:val="26"/>
          <w:szCs w:val="26"/>
        </w:rPr>
      </w:pPr>
    </w:p>
    <w:p w14:paraId="71A36CBE" w14:textId="44090F86" w:rsidR="00AA6DC5" w:rsidRPr="00E951F4" w:rsidRDefault="00AA6DC5" w:rsidP="00E951F4">
      <w:pPr>
        <w:keepNext/>
        <w:widowControl/>
        <w:numPr>
          <w:ilvl w:val="0"/>
          <w:numId w:val="13"/>
        </w:numPr>
        <w:kinsoku w:val="0"/>
        <w:overflowPunct w:val="0"/>
        <w:ind w:left="1440" w:right="1440"/>
        <w:textAlignment w:val="baseline"/>
        <w:rPr>
          <w:sz w:val="26"/>
          <w:szCs w:val="26"/>
        </w:rPr>
      </w:pPr>
      <w:r w:rsidRPr="00E951F4">
        <w:rPr>
          <w:sz w:val="26"/>
          <w:szCs w:val="26"/>
        </w:rPr>
        <w:t>Within 6 months of a final, unappealable order implementing CAP Shopping in PPL Electric service territory, Duquesne will make a filing with the Commission regarding CAP shopping that is consistent with Duquesne’s CAP design, and which is informed by all available information and data.</w:t>
      </w:r>
    </w:p>
    <w:p w14:paraId="3D188281" w14:textId="77777777" w:rsidR="00C87A92" w:rsidRPr="00E951F4" w:rsidRDefault="00C87A92" w:rsidP="00A812F8">
      <w:pPr>
        <w:keepNext/>
        <w:widowControl/>
        <w:kinsoku w:val="0"/>
        <w:overflowPunct w:val="0"/>
        <w:spacing w:line="360" w:lineRule="auto"/>
        <w:ind w:left="1440" w:right="1440"/>
        <w:textAlignment w:val="baseline"/>
        <w:rPr>
          <w:sz w:val="26"/>
          <w:szCs w:val="26"/>
        </w:rPr>
      </w:pPr>
    </w:p>
    <w:p w14:paraId="271BDDB2" w14:textId="1F1F6C45" w:rsidR="00E62FB9" w:rsidRPr="00E951F4" w:rsidRDefault="00940E7F" w:rsidP="00A812F8">
      <w:pPr>
        <w:keepNext/>
        <w:widowControl/>
        <w:kinsoku w:val="0"/>
        <w:overflowPunct w:val="0"/>
        <w:spacing w:line="360" w:lineRule="auto"/>
        <w:ind w:right="144"/>
        <w:textAlignment w:val="baseline"/>
        <w:rPr>
          <w:sz w:val="26"/>
          <w:szCs w:val="26"/>
        </w:rPr>
      </w:pPr>
      <w:r w:rsidRPr="00E951F4">
        <w:rPr>
          <w:sz w:val="26"/>
          <w:szCs w:val="26"/>
        </w:rPr>
        <w:t xml:space="preserve">Duquesne Light M.B. </w:t>
      </w:r>
      <w:r w:rsidR="00E62FB9" w:rsidRPr="00E951F4">
        <w:rPr>
          <w:sz w:val="26"/>
          <w:szCs w:val="26"/>
        </w:rPr>
        <w:t>at 43-44</w:t>
      </w:r>
      <w:r w:rsidR="00567653" w:rsidRPr="00E951F4">
        <w:rPr>
          <w:sz w:val="26"/>
          <w:szCs w:val="26"/>
        </w:rPr>
        <w:t xml:space="preserve"> </w:t>
      </w:r>
      <w:r w:rsidR="005F71B4" w:rsidRPr="00E951F4">
        <w:rPr>
          <w:sz w:val="26"/>
          <w:szCs w:val="26"/>
        </w:rPr>
        <w:t xml:space="preserve">(citing </w:t>
      </w:r>
      <w:r w:rsidR="00567653" w:rsidRPr="00E951F4">
        <w:rPr>
          <w:sz w:val="26"/>
          <w:szCs w:val="26"/>
        </w:rPr>
        <w:t xml:space="preserve">CAP Shopping Stipulation at </w:t>
      </w:r>
      <w:r w:rsidR="00B55FFD" w:rsidRPr="00E951F4">
        <w:rPr>
          <w:sz w:val="26"/>
          <w:szCs w:val="26"/>
        </w:rPr>
        <w:t>2</w:t>
      </w:r>
      <w:r w:rsidR="005F71B4" w:rsidRPr="00E951F4">
        <w:rPr>
          <w:sz w:val="26"/>
          <w:szCs w:val="26"/>
        </w:rPr>
        <w:t>)</w:t>
      </w:r>
      <w:r w:rsidR="00E62FB9" w:rsidRPr="00E951F4">
        <w:rPr>
          <w:sz w:val="26"/>
          <w:szCs w:val="26"/>
        </w:rPr>
        <w:t xml:space="preserve">.  </w:t>
      </w:r>
    </w:p>
    <w:p w14:paraId="7ED9CB82" w14:textId="77777777" w:rsidR="00E62FB9" w:rsidRPr="00E951F4" w:rsidRDefault="00E62FB9" w:rsidP="00A812F8">
      <w:pPr>
        <w:widowControl/>
        <w:kinsoku w:val="0"/>
        <w:overflowPunct w:val="0"/>
        <w:spacing w:line="360" w:lineRule="auto"/>
        <w:ind w:right="144"/>
        <w:textAlignment w:val="baseline"/>
        <w:rPr>
          <w:sz w:val="26"/>
          <w:szCs w:val="26"/>
        </w:rPr>
      </w:pPr>
    </w:p>
    <w:p w14:paraId="258FA57E" w14:textId="17004A17" w:rsidR="00AA6DC5" w:rsidRPr="00E951F4" w:rsidRDefault="00AA6DC5" w:rsidP="00A812F8">
      <w:pPr>
        <w:widowControl/>
        <w:kinsoku w:val="0"/>
        <w:overflowPunct w:val="0"/>
        <w:spacing w:line="360" w:lineRule="auto"/>
        <w:ind w:right="144" w:firstLine="1440"/>
        <w:textAlignment w:val="baseline"/>
        <w:rPr>
          <w:sz w:val="26"/>
          <w:szCs w:val="26"/>
        </w:rPr>
      </w:pPr>
      <w:r w:rsidRPr="00E951F4">
        <w:rPr>
          <w:sz w:val="26"/>
          <w:szCs w:val="26"/>
        </w:rPr>
        <w:t xml:space="preserve">Under the CAP Shopping Stipulation, Duquesne Light is withdrawing its proposed </w:t>
      </w:r>
      <w:r w:rsidR="0011209B" w:rsidRPr="00E951F4">
        <w:rPr>
          <w:sz w:val="26"/>
          <w:szCs w:val="26"/>
        </w:rPr>
        <w:t xml:space="preserve">DSP IX </w:t>
      </w:r>
      <w:r w:rsidRPr="00E951F4">
        <w:rPr>
          <w:sz w:val="26"/>
          <w:szCs w:val="26"/>
        </w:rPr>
        <w:t xml:space="preserve">CAP </w:t>
      </w:r>
      <w:r w:rsidR="005F71B4" w:rsidRPr="00E951F4">
        <w:rPr>
          <w:sz w:val="26"/>
          <w:szCs w:val="26"/>
        </w:rPr>
        <w:t>S</w:t>
      </w:r>
      <w:r w:rsidRPr="00E951F4">
        <w:rPr>
          <w:sz w:val="26"/>
          <w:szCs w:val="26"/>
        </w:rPr>
        <w:t xml:space="preserve">hopping proposal pending the Commission’s decision in </w:t>
      </w:r>
      <w:r w:rsidR="00E50EA6" w:rsidRPr="00E951F4">
        <w:rPr>
          <w:sz w:val="26"/>
          <w:szCs w:val="26"/>
        </w:rPr>
        <w:t xml:space="preserve">the </w:t>
      </w:r>
      <w:r w:rsidRPr="00E951F4">
        <w:rPr>
          <w:i/>
          <w:iCs/>
          <w:sz w:val="26"/>
          <w:szCs w:val="26"/>
        </w:rPr>
        <w:lastRenderedPageBreak/>
        <w:t xml:space="preserve">PPL </w:t>
      </w:r>
      <w:r w:rsidR="00E50EA6" w:rsidRPr="00E951F4">
        <w:rPr>
          <w:i/>
          <w:iCs/>
          <w:sz w:val="26"/>
          <w:szCs w:val="26"/>
        </w:rPr>
        <w:t>DSP Proceeding</w:t>
      </w:r>
      <w:r w:rsidR="00E50EA6" w:rsidRPr="00E951F4">
        <w:rPr>
          <w:sz w:val="26"/>
          <w:szCs w:val="26"/>
        </w:rPr>
        <w:t>.</w:t>
      </w:r>
      <w:r w:rsidRPr="00E951F4">
        <w:rPr>
          <w:sz w:val="26"/>
          <w:szCs w:val="26"/>
        </w:rPr>
        <w:t xml:space="preserve"> </w:t>
      </w:r>
      <w:r w:rsidR="0011209B" w:rsidRPr="00E951F4">
        <w:rPr>
          <w:sz w:val="26"/>
          <w:szCs w:val="26"/>
        </w:rPr>
        <w:t xml:space="preserve"> </w:t>
      </w:r>
      <w:r w:rsidR="008D6DFE" w:rsidRPr="00E951F4">
        <w:rPr>
          <w:sz w:val="26"/>
          <w:szCs w:val="26"/>
        </w:rPr>
        <w:t>Duquesne</w:t>
      </w:r>
      <w:r w:rsidR="00E51F4F" w:rsidRPr="00E951F4">
        <w:rPr>
          <w:sz w:val="26"/>
          <w:szCs w:val="26"/>
        </w:rPr>
        <w:t xml:space="preserve"> Light stated that i</w:t>
      </w:r>
      <w:r w:rsidRPr="00E951F4">
        <w:rPr>
          <w:sz w:val="26"/>
          <w:szCs w:val="26"/>
        </w:rPr>
        <w:t xml:space="preserve">n that proceeding, PPL Electric </w:t>
      </w:r>
      <w:r w:rsidR="00E51F4F" w:rsidRPr="00E951F4">
        <w:rPr>
          <w:sz w:val="26"/>
          <w:szCs w:val="26"/>
        </w:rPr>
        <w:t>was</w:t>
      </w:r>
      <w:r w:rsidRPr="00E951F4">
        <w:rPr>
          <w:sz w:val="26"/>
          <w:szCs w:val="26"/>
        </w:rPr>
        <w:t xml:space="preserve"> proposing to eliminate its CAP shopping program for several reasons, including that newly enrolled CAP customers often have contracts that are higher than the PTC and lack of EGS participation in the </w:t>
      </w:r>
      <w:r w:rsidR="00E51F4F" w:rsidRPr="00E951F4">
        <w:rPr>
          <w:sz w:val="26"/>
          <w:szCs w:val="26"/>
        </w:rPr>
        <w:t>p</w:t>
      </w:r>
      <w:r w:rsidRPr="00E951F4">
        <w:rPr>
          <w:sz w:val="26"/>
          <w:szCs w:val="26"/>
        </w:rPr>
        <w:t>rogram.</w:t>
      </w:r>
      <w:r w:rsidR="004F2749" w:rsidRPr="00E951F4">
        <w:rPr>
          <w:sz w:val="26"/>
          <w:szCs w:val="26"/>
        </w:rPr>
        <w:t xml:space="preserve">  </w:t>
      </w:r>
      <w:r w:rsidR="0089092F" w:rsidRPr="00E951F4">
        <w:rPr>
          <w:sz w:val="26"/>
          <w:szCs w:val="26"/>
        </w:rPr>
        <w:t>Duquesne Light M.B. at 44</w:t>
      </w:r>
      <w:r w:rsidR="00EA2435" w:rsidRPr="00E951F4">
        <w:rPr>
          <w:sz w:val="26"/>
          <w:szCs w:val="26"/>
        </w:rPr>
        <w:t>.</w:t>
      </w:r>
      <w:r w:rsidR="0089092F" w:rsidRPr="00E951F4">
        <w:rPr>
          <w:sz w:val="26"/>
          <w:szCs w:val="26"/>
        </w:rPr>
        <w:t xml:space="preserve"> </w:t>
      </w:r>
    </w:p>
    <w:p w14:paraId="01271F23" w14:textId="77777777" w:rsidR="007C06FE" w:rsidRPr="00E951F4" w:rsidRDefault="007C06FE" w:rsidP="00E951F4">
      <w:pPr>
        <w:widowControl/>
        <w:kinsoku w:val="0"/>
        <w:overflowPunct w:val="0"/>
        <w:spacing w:line="360" w:lineRule="auto"/>
        <w:ind w:right="144" w:firstLine="1440"/>
        <w:textAlignment w:val="baseline"/>
        <w:rPr>
          <w:sz w:val="26"/>
          <w:szCs w:val="26"/>
        </w:rPr>
      </w:pPr>
    </w:p>
    <w:p w14:paraId="3B7B775A" w14:textId="67E758CE" w:rsidR="00F9131B" w:rsidRPr="00E951F4" w:rsidRDefault="00F9131B" w:rsidP="00E951F4">
      <w:pPr>
        <w:pStyle w:val="Heading3"/>
      </w:pPr>
      <w:bookmarkStart w:id="112" w:name="_Toc59620159"/>
      <w:bookmarkStart w:id="113" w:name="_Toc60912053"/>
      <w:r w:rsidRPr="00E951F4">
        <w:t>Recommended Decision</w:t>
      </w:r>
      <w:bookmarkEnd w:id="112"/>
      <w:bookmarkEnd w:id="113"/>
    </w:p>
    <w:p w14:paraId="57794A2F" w14:textId="631FD453" w:rsidR="00F9131B" w:rsidRPr="00E951F4" w:rsidRDefault="00F9131B" w:rsidP="00E951F4">
      <w:pPr>
        <w:keepNext/>
        <w:keepLines/>
        <w:widowControl/>
        <w:spacing w:line="360" w:lineRule="auto"/>
        <w:ind w:firstLine="720"/>
        <w:contextualSpacing/>
        <w:rPr>
          <w:sz w:val="26"/>
          <w:szCs w:val="26"/>
        </w:rPr>
      </w:pPr>
    </w:p>
    <w:p w14:paraId="6CAEEF03" w14:textId="77777777" w:rsidR="004E1FD8" w:rsidRPr="00E951F4" w:rsidRDefault="008F6E19" w:rsidP="00E951F4">
      <w:pPr>
        <w:keepNext/>
        <w:widowControl/>
        <w:kinsoku w:val="0"/>
        <w:overflowPunct w:val="0"/>
        <w:spacing w:line="360" w:lineRule="auto"/>
        <w:ind w:right="360" w:firstLine="1440"/>
        <w:textAlignment w:val="baseline"/>
        <w:rPr>
          <w:sz w:val="26"/>
          <w:szCs w:val="26"/>
        </w:rPr>
      </w:pPr>
      <w:r w:rsidRPr="00E951F4">
        <w:rPr>
          <w:sz w:val="26"/>
          <w:szCs w:val="26"/>
        </w:rPr>
        <w:t xml:space="preserve">The ALJ </w:t>
      </w:r>
      <w:r w:rsidR="00841CE8" w:rsidRPr="00E951F4">
        <w:rPr>
          <w:sz w:val="26"/>
          <w:szCs w:val="26"/>
        </w:rPr>
        <w:t xml:space="preserve">determined that </w:t>
      </w:r>
      <w:r w:rsidR="002B711F" w:rsidRPr="00E951F4">
        <w:rPr>
          <w:sz w:val="26"/>
          <w:szCs w:val="26"/>
        </w:rPr>
        <w:t xml:space="preserve">approval of the CAP Shopping Stipulation </w:t>
      </w:r>
      <w:r w:rsidR="00857D89" w:rsidRPr="00E951F4">
        <w:rPr>
          <w:sz w:val="26"/>
          <w:szCs w:val="26"/>
        </w:rPr>
        <w:t>and Duquesne Light’s withdrawal of its CAP shopping proposal was in the public interest</w:t>
      </w:r>
      <w:r w:rsidR="00AC6908" w:rsidRPr="00E951F4">
        <w:rPr>
          <w:sz w:val="26"/>
          <w:szCs w:val="26"/>
        </w:rPr>
        <w:t>, particularly g</w:t>
      </w:r>
      <w:r w:rsidRPr="00E951F4">
        <w:rPr>
          <w:sz w:val="26"/>
          <w:szCs w:val="26"/>
        </w:rPr>
        <w:t xml:space="preserve">iven </w:t>
      </w:r>
      <w:r w:rsidR="00AC6908" w:rsidRPr="00E951F4">
        <w:rPr>
          <w:sz w:val="26"/>
          <w:szCs w:val="26"/>
        </w:rPr>
        <w:t xml:space="preserve">CAUSE-PA and the OCA’s </w:t>
      </w:r>
      <w:r w:rsidRPr="00E951F4">
        <w:rPr>
          <w:sz w:val="26"/>
          <w:szCs w:val="26"/>
        </w:rPr>
        <w:t xml:space="preserve">opposition to CAP shopping in this proceeding. </w:t>
      </w:r>
      <w:r w:rsidR="00AC6908" w:rsidRPr="00E951F4">
        <w:rPr>
          <w:sz w:val="26"/>
          <w:szCs w:val="26"/>
        </w:rPr>
        <w:t xml:space="preserve"> The ALJ found </w:t>
      </w:r>
      <w:r w:rsidR="001C16C1" w:rsidRPr="00E951F4">
        <w:rPr>
          <w:sz w:val="26"/>
          <w:szCs w:val="26"/>
        </w:rPr>
        <w:t>it</w:t>
      </w:r>
      <w:r w:rsidRPr="00E951F4">
        <w:rPr>
          <w:sz w:val="26"/>
          <w:szCs w:val="26"/>
        </w:rPr>
        <w:t xml:space="preserve"> reasonable to wait for additional clarity from the Commission and/or courts before going forward with CAP shopping.</w:t>
      </w:r>
      <w:r w:rsidR="00556D76" w:rsidRPr="00E951F4">
        <w:rPr>
          <w:sz w:val="26"/>
          <w:szCs w:val="26"/>
        </w:rPr>
        <w:t xml:space="preserve"> </w:t>
      </w:r>
      <w:r w:rsidR="00F11869" w:rsidRPr="00E951F4">
        <w:rPr>
          <w:sz w:val="26"/>
          <w:szCs w:val="26"/>
        </w:rPr>
        <w:t xml:space="preserve"> R.D. at 58-59.</w:t>
      </w:r>
      <w:r w:rsidR="00556D76" w:rsidRPr="00E951F4">
        <w:rPr>
          <w:sz w:val="26"/>
          <w:szCs w:val="26"/>
        </w:rPr>
        <w:t xml:space="preserve"> </w:t>
      </w:r>
      <w:r w:rsidR="00F11869" w:rsidRPr="00E951F4">
        <w:rPr>
          <w:sz w:val="26"/>
          <w:szCs w:val="26"/>
        </w:rPr>
        <w:t xml:space="preserve"> </w:t>
      </w:r>
      <w:r w:rsidR="00556D76" w:rsidRPr="00E951F4">
        <w:rPr>
          <w:sz w:val="26"/>
          <w:szCs w:val="26"/>
        </w:rPr>
        <w:t>The ALJ noted that if</w:t>
      </w:r>
      <w:r w:rsidRPr="00E951F4">
        <w:rPr>
          <w:sz w:val="26"/>
          <w:szCs w:val="26"/>
        </w:rPr>
        <w:t xml:space="preserve"> the Commission orders PPL Electric to continue its CAP shopping program</w:t>
      </w:r>
      <w:r w:rsidR="002275B2" w:rsidRPr="00E951F4">
        <w:rPr>
          <w:sz w:val="26"/>
          <w:szCs w:val="26"/>
        </w:rPr>
        <w:t xml:space="preserve"> in the </w:t>
      </w:r>
      <w:r w:rsidR="002275B2" w:rsidRPr="00E951F4">
        <w:rPr>
          <w:i/>
          <w:iCs/>
          <w:sz w:val="26"/>
          <w:szCs w:val="26"/>
        </w:rPr>
        <w:t>PPL DSP Proceeding</w:t>
      </w:r>
      <w:r w:rsidRPr="00E951F4">
        <w:rPr>
          <w:sz w:val="26"/>
          <w:szCs w:val="26"/>
        </w:rPr>
        <w:t xml:space="preserve">, </w:t>
      </w:r>
      <w:r w:rsidR="00556D76" w:rsidRPr="00E951F4">
        <w:rPr>
          <w:sz w:val="26"/>
          <w:szCs w:val="26"/>
        </w:rPr>
        <w:t xml:space="preserve">then </w:t>
      </w:r>
      <w:r w:rsidRPr="00E951F4">
        <w:rPr>
          <w:sz w:val="26"/>
          <w:szCs w:val="26"/>
        </w:rPr>
        <w:t>Duquesne Light should be directed to make a separate filing with the Commission regarding CAP shopping.</w:t>
      </w:r>
      <w:r w:rsidR="00F11869" w:rsidRPr="00E951F4">
        <w:rPr>
          <w:sz w:val="26"/>
          <w:szCs w:val="26"/>
        </w:rPr>
        <w:t xml:space="preserve">  </w:t>
      </w:r>
      <w:r w:rsidR="00F11869" w:rsidRPr="00E951F4">
        <w:rPr>
          <w:i/>
          <w:iCs/>
          <w:sz w:val="26"/>
          <w:szCs w:val="26"/>
        </w:rPr>
        <w:t>Id</w:t>
      </w:r>
      <w:r w:rsidR="00F11869" w:rsidRPr="00E951F4">
        <w:rPr>
          <w:sz w:val="26"/>
          <w:szCs w:val="26"/>
        </w:rPr>
        <w:t>. at 59.</w:t>
      </w:r>
      <w:r w:rsidR="00E7015C" w:rsidRPr="00E951F4">
        <w:rPr>
          <w:sz w:val="26"/>
          <w:szCs w:val="26"/>
        </w:rPr>
        <w:t xml:space="preserve">  </w:t>
      </w:r>
    </w:p>
    <w:p w14:paraId="38C2D50C" w14:textId="77777777" w:rsidR="004E1FD8" w:rsidRPr="00E951F4" w:rsidRDefault="004E1FD8" w:rsidP="00E951F4">
      <w:pPr>
        <w:widowControl/>
        <w:kinsoku w:val="0"/>
        <w:overflowPunct w:val="0"/>
        <w:spacing w:line="360" w:lineRule="auto"/>
        <w:ind w:right="360" w:firstLine="1440"/>
        <w:textAlignment w:val="baseline"/>
        <w:rPr>
          <w:sz w:val="26"/>
          <w:szCs w:val="26"/>
        </w:rPr>
      </w:pPr>
    </w:p>
    <w:p w14:paraId="16F16036" w14:textId="028BF749" w:rsidR="00E517EE" w:rsidRPr="00E951F4" w:rsidRDefault="007C334B" w:rsidP="00E951F4">
      <w:pPr>
        <w:pStyle w:val="Heading3"/>
      </w:pPr>
      <w:bookmarkStart w:id="114" w:name="_Toc59620160"/>
      <w:bookmarkStart w:id="115" w:name="_Toc60912054"/>
      <w:r w:rsidRPr="00E951F4">
        <w:t>EGS Parties Exception No. 4</w:t>
      </w:r>
      <w:r w:rsidR="00BA2538" w:rsidRPr="00E951F4">
        <w:t xml:space="preserve"> and </w:t>
      </w:r>
      <w:r w:rsidR="009916BF" w:rsidRPr="00E951F4">
        <w:t>Replies</w:t>
      </w:r>
      <w:bookmarkEnd w:id="114"/>
      <w:bookmarkEnd w:id="115"/>
    </w:p>
    <w:p w14:paraId="67A4C729" w14:textId="77777777" w:rsidR="00E517EE" w:rsidRPr="00E951F4" w:rsidRDefault="00E517EE" w:rsidP="00E951F4">
      <w:pPr>
        <w:keepNext/>
        <w:widowControl/>
        <w:kinsoku w:val="0"/>
        <w:overflowPunct w:val="0"/>
        <w:spacing w:line="360" w:lineRule="auto"/>
        <w:ind w:left="720" w:right="360"/>
        <w:textAlignment w:val="baseline"/>
        <w:rPr>
          <w:b/>
          <w:bCs/>
          <w:sz w:val="26"/>
          <w:szCs w:val="26"/>
        </w:rPr>
      </w:pPr>
    </w:p>
    <w:p w14:paraId="703A94EC" w14:textId="3FAA3994" w:rsidR="008F21B0" w:rsidRPr="00E951F4" w:rsidRDefault="009916BF" w:rsidP="00E951F4">
      <w:pPr>
        <w:keepNext/>
        <w:widowControl/>
        <w:spacing w:line="360" w:lineRule="auto"/>
        <w:ind w:firstLine="1440"/>
        <w:rPr>
          <w:sz w:val="26"/>
          <w:szCs w:val="26"/>
        </w:rPr>
      </w:pPr>
      <w:r w:rsidRPr="00E951F4">
        <w:rPr>
          <w:sz w:val="26"/>
          <w:szCs w:val="26"/>
        </w:rPr>
        <w:t>In their Exception</w:t>
      </w:r>
      <w:r w:rsidR="00BA2538" w:rsidRPr="00E951F4">
        <w:rPr>
          <w:sz w:val="26"/>
          <w:szCs w:val="26"/>
        </w:rPr>
        <w:t xml:space="preserve"> No. 4</w:t>
      </w:r>
      <w:r w:rsidRPr="00E951F4">
        <w:rPr>
          <w:sz w:val="26"/>
          <w:szCs w:val="26"/>
        </w:rPr>
        <w:t xml:space="preserve">, the EGS Parties </w:t>
      </w:r>
      <w:r w:rsidR="003B61EE" w:rsidRPr="00E951F4">
        <w:rPr>
          <w:sz w:val="26"/>
          <w:szCs w:val="26"/>
        </w:rPr>
        <w:t xml:space="preserve">argue that the ALJ erred by </w:t>
      </w:r>
      <w:r w:rsidR="0063377D" w:rsidRPr="00E951F4">
        <w:rPr>
          <w:sz w:val="26"/>
          <w:szCs w:val="26"/>
        </w:rPr>
        <w:t>not enforcing the rights of CAP customers to shop for electricity.</w:t>
      </w:r>
      <w:r w:rsidR="00A9179A" w:rsidRPr="00E951F4">
        <w:rPr>
          <w:sz w:val="26"/>
          <w:szCs w:val="26"/>
        </w:rPr>
        <w:t xml:space="preserve">  </w:t>
      </w:r>
      <w:r w:rsidR="008B0BAE" w:rsidRPr="00E951F4">
        <w:rPr>
          <w:sz w:val="26"/>
          <w:szCs w:val="26"/>
        </w:rPr>
        <w:t xml:space="preserve">EGS Parties Exc. at 5.  </w:t>
      </w:r>
      <w:r w:rsidR="00A9179A" w:rsidRPr="00E951F4">
        <w:rPr>
          <w:sz w:val="26"/>
          <w:szCs w:val="26"/>
        </w:rPr>
        <w:t xml:space="preserve">The EGS Parties </w:t>
      </w:r>
      <w:r w:rsidR="00FB0F3B" w:rsidRPr="00E951F4">
        <w:rPr>
          <w:sz w:val="26"/>
          <w:szCs w:val="26"/>
        </w:rPr>
        <w:t>aver</w:t>
      </w:r>
      <w:r w:rsidR="00A9179A" w:rsidRPr="00E951F4">
        <w:rPr>
          <w:sz w:val="26"/>
          <w:szCs w:val="26"/>
        </w:rPr>
        <w:t xml:space="preserve"> that</w:t>
      </w:r>
      <w:r w:rsidR="00EF4830" w:rsidRPr="00E951F4">
        <w:rPr>
          <w:sz w:val="26"/>
          <w:szCs w:val="26"/>
        </w:rPr>
        <w:t xml:space="preserve"> one of the fundamental changes stemming from the </w:t>
      </w:r>
      <w:r w:rsidR="00F15A65" w:rsidRPr="00E951F4">
        <w:rPr>
          <w:sz w:val="26"/>
          <w:szCs w:val="26"/>
        </w:rPr>
        <w:t>Competition Act</w:t>
      </w:r>
      <w:r w:rsidR="00EF4830" w:rsidRPr="00E951F4">
        <w:rPr>
          <w:sz w:val="26"/>
          <w:szCs w:val="26"/>
        </w:rPr>
        <w:t xml:space="preserve"> was that </w:t>
      </w:r>
      <w:r w:rsidR="003A6F3D" w:rsidRPr="00E951F4">
        <w:rPr>
          <w:sz w:val="26"/>
          <w:szCs w:val="26"/>
        </w:rPr>
        <w:t>all customers gained the right to shop for electricity</w:t>
      </w:r>
      <w:r w:rsidR="008B0BAE" w:rsidRPr="00E951F4">
        <w:rPr>
          <w:sz w:val="26"/>
          <w:szCs w:val="26"/>
        </w:rPr>
        <w:t xml:space="preserve">.  </w:t>
      </w:r>
      <w:r w:rsidR="008B0BAE" w:rsidRPr="00E951F4">
        <w:rPr>
          <w:i/>
          <w:iCs/>
          <w:sz w:val="26"/>
          <w:szCs w:val="26"/>
        </w:rPr>
        <w:t>Id</w:t>
      </w:r>
      <w:r w:rsidR="008B0BAE" w:rsidRPr="00E951F4">
        <w:rPr>
          <w:sz w:val="26"/>
          <w:szCs w:val="26"/>
        </w:rPr>
        <w:t>. at 5 (citing 66</w:t>
      </w:r>
      <w:r w:rsidR="00A812F8">
        <w:rPr>
          <w:sz w:val="26"/>
          <w:szCs w:val="26"/>
        </w:rPr>
        <w:t> </w:t>
      </w:r>
      <w:r w:rsidR="008B0BAE" w:rsidRPr="00E951F4">
        <w:rPr>
          <w:sz w:val="26"/>
          <w:szCs w:val="26"/>
        </w:rPr>
        <w:t>Pa.</w:t>
      </w:r>
      <w:r w:rsidR="00A812F8">
        <w:rPr>
          <w:sz w:val="26"/>
          <w:szCs w:val="26"/>
        </w:rPr>
        <w:t> </w:t>
      </w:r>
      <w:r w:rsidR="008B0BAE" w:rsidRPr="00E951F4">
        <w:rPr>
          <w:sz w:val="26"/>
          <w:szCs w:val="26"/>
        </w:rPr>
        <w:t xml:space="preserve">C.S. § 2806(a)).  </w:t>
      </w:r>
      <w:r w:rsidR="00FB0F3B" w:rsidRPr="00E951F4">
        <w:rPr>
          <w:sz w:val="26"/>
          <w:szCs w:val="26"/>
        </w:rPr>
        <w:t>The EGS Parties state that Duquesne Light CAP customers are not currently permitted to shop for electricity</w:t>
      </w:r>
      <w:r w:rsidR="004B6B8B" w:rsidRPr="00E951F4">
        <w:rPr>
          <w:sz w:val="26"/>
          <w:szCs w:val="26"/>
        </w:rPr>
        <w:t xml:space="preserve"> despite the Commission’s preference that they be permitted to do so.  </w:t>
      </w:r>
      <w:r w:rsidR="008D6769" w:rsidRPr="00E951F4">
        <w:rPr>
          <w:sz w:val="26"/>
          <w:szCs w:val="26"/>
        </w:rPr>
        <w:t>EGS Parties Exc. at 5</w:t>
      </w:r>
      <w:r w:rsidR="00231DEB" w:rsidRPr="00E951F4">
        <w:rPr>
          <w:sz w:val="26"/>
          <w:szCs w:val="26"/>
        </w:rPr>
        <w:t>-6</w:t>
      </w:r>
      <w:r w:rsidR="008D6769" w:rsidRPr="00E951F4">
        <w:rPr>
          <w:sz w:val="26"/>
          <w:szCs w:val="26"/>
        </w:rPr>
        <w:t xml:space="preserve"> (citing </w:t>
      </w:r>
      <w:r w:rsidR="00270DDE" w:rsidRPr="00E951F4">
        <w:rPr>
          <w:i/>
          <w:iCs/>
          <w:sz w:val="26"/>
          <w:szCs w:val="26"/>
        </w:rPr>
        <w:t>Proposed Policy Statement</w:t>
      </w:r>
      <w:r w:rsidR="00270DDE" w:rsidRPr="00E951F4">
        <w:rPr>
          <w:sz w:val="26"/>
          <w:szCs w:val="26"/>
        </w:rPr>
        <w:t xml:space="preserve">; </w:t>
      </w:r>
      <w:r w:rsidR="00127235" w:rsidRPr="00E951F4">
        <w:rPr>
          <w:i/>
          <w:iCs/>
          <w:sz w:val="26"/>
          <w:szCs w:val="26"/>
        </w:rPr>
        <w:t>January 23</w:t>
      </w:r>
      <w:r w:rsidR="004A4614" w:rsidRPr="00E951F4">
        <w:rPr>
          <w:i/>
          <w:iCs/>
          <w:sz w:val="26"/>
          <w:szCs w:val="26"/>
        </w:rPr>
        <w:t>, 2020 Secretarial Letter</w:t>
      </w:r>
      <w:r w:rsidR="00270DDE" w:rsidRPr="00E951F4">
        <w:rPr>
          <w:sz w:val="26"/>
          <w:szCs w:val="26"/>
        </w:rPr>
        <w:t xml:space="preserve">).  </w:t>
      </w:r>
      <w:r w:rsidR="00E411D4" w:rsidRPr="00E951F4">
        <w:rPr>
          <w:sz w:val="26"/>
          <w:szCs w:val="26"/>
        </w:rPr>
        <w:t xml:space="preserve">The EGS Parties </w:t>
      </w:r>
      <w:r w:rsidR="002464A3" w:rsidRPr="00E951F4">
        <w:rPr>
          <w:sz w:val="26"/>
          <w:szCs w:val="26"/>
        </w:rPr>
        <w:t xml:space="preserve">note that Duquesne Light </w:t>
      </w:r>
      <w:r w:rsidR="00907952" w:rsidRPr="00E951F4">
        <w:rPr>
          <w:sz w:val="26"/>
          <w:szCs w:val="26"/>
        </w:rPr>
        <w:t xml:space="preserve">proposed a CAP Shopping program similar to that of </w:t>
      </w:r>
      <w:r w:rsidR="00CE77B4" w:rsidRPr="00E951F4">
        <w:rPr>
          <w:sz w:val="26"/>
          <w:szCs w:val="26"/>
        </w:rPr>
        <w:t xml:space="preserve">other public utilities; however, the Company postponed the implementation of </w:t>
      </w:r>
      <w:r w:rsidR="00C272D0" w:rsidRPr="00E951F4">
        <w:rPr>
          <w:sz w:val="26"/>
          <w:szCs w:val="26"/>
        </w:rPr>
        <w:t xml:space="preserve">the </w:t>
      </w:r>
      <w:r w:rsidR="00CE77B4" w:rsidRPr="00E951F4">
        <w:rPr>
          <w:sz w:val="26"/>
          <w:szCs w:val="26"/>
        </w:rPr>
        <w:t>CAP Shopping</w:t>
      </w:r>
      <w:r w:rsidR="00C272D0" w:rsidRPr="00E951F4">
        <w:rPr>
          <w:sz w:val="26"/>
          <w:szCs w:val="26"/>
        </w:rPr>
        <w:t xml:space="preserve"> program</w:t>
      </w:r>
      <w:r w:rsidR="00CE77B4" w:rsidRPr="00E951F4">
        <w:rPr>
          <w:sz w:val="26"/>
          <w:szCs w:val="26"/>
        </w:rPr>
        <w:t xml:space="preserve"> </w:t>
      </w:r>
      <w:r w:rsidR="005F7FCF" w:rsidRPr="00E951F4">
        <w:rPr>
          <w:sz w:val="26"/>
          <w:szCs w:val="26"/>
        </w:rPr>
        <w:t xml:space="preserve">until after </w:t>
      </w:r>
      <w:r w:rsidR="00C13308" w:rsidRPr="00E951F4">
        <w:rPr>
          <w:sz w:val="26"/>
          <w:szCs w:val="26"/>
        </w:rPr>
        <w:t xml:space="preserve">a </w:t>
      </w:r>
      <w:r w:rsidR="00C13308" w:rsidRPr="00E951F4">
        <w:rPr>
          <w:sz w:val="26"/>
          <w:szCs w:val="26"/>
        </w:rPr>
        <w:lastRenderedPageBreak/>
        <w:t xml:space="preserve">decision in </w:t>
      </w:r>
      <w:r w:rsidR="0040326D" w:rsidRPr="00E951F4">
        <w:rPr>
          <w:sz w:val="26"/>
          <w:szCs w:val="26"/>
        </w:rPr>
        <w:t xml:space="preserve">the </w:t>
      </w:r>
      <w:r w:rsidR="00C13308" w:rsidRPr="00E951F4">
        <w:rPr>
          <w:i/>
          <w:iCs/>
          <w:sz w:val="26"/>
          <w:szCs w:val="26"/>
        </w:rPr>
        <w:t xml:space="preserve">PPL </w:t>
      </w:r>
      <w:r w:rsidR="00436038" w:rsidRPr="00E951F4">
        <w:rPr>
          <w:i/>
          <w:iCs/>
          <w:sz w:val="26"/>
          <w:szCs w:val="26"/>
        </w:rPr>
        <w:t xml:space="preserve">DSP </w:t>
      </w:r>
      <w:r w:rsidR="0040326D" w:rsidRPr="00E951F4">
        <w:rPr>
          <w:i/>
          <w:iCs/>
          <w:sz w:val="26"/>
          <w:szCs w:val="26"/>
        </w:rPr>
        <w:t>P</w:t>
      </w:r>
      <w:r w:rsidR="00436038" w:rsidRPr="00E951F4">
        <w:rPr>
          <w:i/>
          <w:iCs/>
          <w:sz w:val="26"/>
          <w:szCs w:val="26"/>
        </w:rPr>
        <w:t>roceeding</w:t>
      </w:r>
      <w:r w:rsidR="00436038" w:rsidRPr="00E951F4">
        <w:rPr>
          <w:sz w:val="26"/>
          <w:szCs w:val="26"/>
        </w:rPr>
        <w:t xml:space="preserve">.  The EGS Parties assert that the issue was </w:t>
      </w:r>
      <w:r w:rsidR="0016461A" w:rsidRPr="00E951F4">
        <w:rPr>
          <w:sz w:val="26"/>
          <w:szCs w:val="26"/>
        </w:rPr>
        <w:t>briefed in this case and should have been decided and not deferred.</w:t>
      </w:r>
      <w:r w:rsidR="00231DEB" w:rsidRPr="00E951F4">
        <w:rPr>
          <w:sz w:val="26"/>
          <w:szCs w:val="26"/>
        </w:rPr>
        <w:t xml:space="preserve">  </w:t>
      </w:r>
      <w:r w:rsidR="00231DEB" w:rsidRPr="00E951F4">
        <w:rPr>
          <w:i/>
          <w:iCs/>
          <w:sz w:val="26"/>
          <w:szCs w:val="26"/>
        </w:rPr>
        <w:t>Id</w:t>
      </w:r>
      <w:r w:rsidR="00231DEB" w:rsidRPr="00E951F4">
        <w:rPr>
          <w:sz w:val="26"/>
          <w:szCs w:val="26"/>
        </w:rPr>
        <w:t xml:space="preserve">. at 6.  </w:t>
      </w:r>
    </w:p>
    <w:p w14:paraId="23B6FEBE" w14:textId="77777777" w:rsidR="00A97004" w:rsidRPr="00E951F4" w:rsidRDefault="00A97004" w:rsidP="00E951F4">
      <w:pPr>
        <w:widowControl/>
        <w:kinsoku w:val="0"/>
        <w:overflowPunct w:val="0"/>
        <w:spacing w:line="360" w:lineRule="auto"/>
        <w:ind w:left="90" w:firstLine="1350"/>
        <w:textAlignment w:val="baseline"/>
        <w:rPr>
          <w:sz w:val="26"/>
          <w:szCs w:val="26"/>
        </w:rPr>
      </w:pPr>
    </w:p>
    <w:p w14:paraId="4CE17E07" w14:textId="097F238A" w:rsidR="00A97004" w:rsidRPr="00E951F4" w:rsidRDefault="006A29DC" w:rsidP="00E951F4">
      <w:pPr>
        <w:keepNext/>
        <w:widowControl/>
        <w:kinsoku w:val="0"/>
        <w:overflowPunct w:val="0"/>
        <w:spacing w:line="360" w:lineRule="auto"/>
        <w:ind w:left="720" w:firstLine="720"/>
        <w:textAlignment w:val="baseline"/>
        <w:rPr>
          <w:b/>
          <w:bCs/>
          <w:sz w:val="26"/>
          <w:szCs w:val="26"/>
        </w:rPr>
      </w:pPr>
      <w:r w:rsidRPr="00E951F4">
        <w:rPr>
          <w:b/>
          <w:bCs/>
          <w:sz w:val="26"/>
          <w:szCs w:val="26"/>
        </w:rPr>
        <w:t xml:space="preserve">Duquesne Light </w:t>
      </w:r>
      <w:r w:rsidR="00BA2538" w:rsidRPr="00E951F4">
        <w:rPr>
          <w:b/>
          <w:bCs/>
          <w:sz w:val="26"/>
          <w:szCs w:val="26"/>
        </w:rPr>
        <w:t>Replies</w:t>
      </w:r>
    </w:p>
    <w:p w14:paraId="58B71943" w14:textId="77777777" w:rsidR="00A97004" w:rsidRPr="00E951F4" w:rsidRDefault="00A97004" w:rsidP="00E951F4">
      <w:pPr>
        <w:keepNext/>
        <w:widowControl/>
        <w:kinsoku w:val="0"/>
        <w:overflowPunct w:val="0"/>
        <w:spacing w:line="360" w:lineRule="auto"/>
        <w:ind w:left="90" w:firstLine="1350"/>
        <w:textAlignment w:val="baseline"/>
        <w:rPr>
          <w:sz w:val="26"/>
          <w:szCs w:val="26"/>
        </w:rPr>
      </w:pPr>
    </w:p>
    <w:p w14:paraId="4F7C9504" w14:textId="1547EA9E" w:rsidR="00922DB4" w:rsidRPr="00E951F4" w:rsidRDefault="00922DB4" w:rsidP="00E951F4">
      <w:pPr>
        <w:keepNext/>
        <w:widowControl/>
        <w:kinsoku w:val="0"/>
        <w:overflowPunct w:val="0"/>
        <w:spacing w:line="360" w:lineRule="auto"/>
        <w:ind w:firstLine="1440"/>
        <w:textAlignment w:val="baseline"/>
        <w:rPr>
          <w:sz w:val="26"/>
          <w:szCs w:val="26"/>
        </w:rPr>
      </w:pPr>
      <w:r w:rsidRPr="00E951F4">
        <w:rPr>
          <w:sz w:val="26"/>
          <w:szCs w:val="26"/>
        </w:rPr>
        <w:t xml:space="preserve">In its Replies, Duquesne Light </w:t>
      </w:r>
      <w:r w:rsidR="00627BDA" w:rsidRPr="00E951F4">
        <w:rPr>
          <w:sz w:val="26"/>
          <w:szCs w:val="26"/>
        </w:rPr>
        <w:t xml:space="preserve">explains that it </w:t>
      </w:r>
      <w:r w:rsidRPr="00E951F4">
        <w:rPr>
          <w:sz w:val="26"/>
          <w:szCs w:val="26"/>
        </w:rPr>
        <w:t xml:space="preserve">provided a good faith proposal to expand shopping to its </w:t>
      </w:r>
      <w:r w:rsidR="00627BDA" w:rsidRPr="00E951F4">
        <w:rPr>
          <w:sz w:val="26"/>
          <w:szCs w:val="26"/>
        </w:rPr>
        <w:t xml:space="preserve">CAP customers, consistent with </w:t>
      </w:r>
      <w:r w:rsidRPr="00E951F4">
        <w:rPr>
          <w:sz w:val="26"/>
          <w:szCs w:val="26"/>
        </w:rPr>
        <w:t xml:space="preserve">the </w:t>
      </w:r>
      <w:r w:rsidR="00627BDA" w:rsidRPr="00E951F4">
        <w:rPr>
          <w:sz w:val="26"/>
          <w:szCs w:val="26"/>
        </w:rPr>
        <w:t xml:space="preserve">Commission’s </w:t>
      </w:r>
      <w:r w:rsidRPr="00E951F4">
        <w:rPr>
          <w:sz w:val="26"/>
          <w:szCs w:val="26"/>
        </w:rPr>
        <w:t>guidelines</w:t>
      </w:r>
      <w:r w:rsidR="00627BDA" w:rsidRPr="00E951F4">
        <w:rPr>
          <w:sz w:val="26"/>
          <w:szCs w:val="26"/>
        </w:rPr>
        <w:t xml:space="preserve">.  </w:t>
      </w:r>
      <w:r w:rsidR="000F7BDB" w:rsidRPr="00E951F4">
        <w:rPr>
          <w:sz w:val="26"/>
          <w:szCs w:val="26"/>
        </w:rPr>
        <w:t>T</w:t>
      </w:r>
      <w:r w:rsidRPr="00E951F4">
        <w:rPr>
          <w:sz w:val="26"/>
          <w:szCs w:val="26"/>
        </w:rPr>
        <w:t>he Company note</w:t>
      </w:r>
      <w:r w:rsidR="004311F5" w:rsidRPr="00E951F4">
        <w:rPr>
          <w:sz w:val="26"/>
          <w:szCs w:val="26"/>
        </w:rPr>
        <w:t>s</w:t>
      </w:r>
      <w:r w:rsidRPr="00E951F4">
        <w:rPr>
          <w:sz w:val="26"/>
          <w:szCs w:val="26"/>
        </w:rPr>
        <w:t xml:space="preserve"> </w:t>
      </w:r>
      <w:r w:rsidR="000F7BDB" w:rsidRPr="00E951F4">
        <w:rPr>
          <w:sz w:val="26"/>
          <w:szCs w:val="26"/>
        </w:rPr>
        <w:t xml:space="preserve">that in </w:t>
      </w:r>
      <w:r w:rsidRPr="00E951F4">
        <w:rPr>
          <w:sz w:val="26"/>
          <w:szCs w:val="26"/>
        </w:rPr>
        <w:t xml:space="preserve">its </w:t>
      </w:r>
      <w:r w:rsidR="000F7BDB" w:rsidRPr="00E951F4">
        <w:rPr>
          <w:sz w:val="26"/>
          <w:szCs w:val="26"/>
        </w:rPr>
        <w:t xml:space="preserve">proposal, it expressed </w:t>
      </w:r>
      <w:r w:rsidRPr="00E951F4">
        <w:rPr>
          <w:sz w:val="26"/>
          <w:szCs w:val="26"/>
        </w:rPr>
        <w:t xml:space="preserve">concern </w:t>
      </w:r>
      <w:r w:rsidR="00811109" w:rsidRPr="00E951F4">
        <w:rPr>
          <w:sz w:val="26"/>
          <w:szCs w:val="26"/>
        </w:rPr>
        <w:t xml:space="preserve">that </w:t>
      </w:r>
      <w:r w:rsidRPr="00E951F4">
        <w:rPr>
          <w:sz w:val="26"/>
          <w:szCs w:val="26"/>
        </w:rPr>
        <w:t xml:space="preserve">EGSs might not make offers under the conditions the Commission </w:t>
      </w:r>
      <w:r w:rsidR="006D0867" w:rsidRPr="00E951F4">
        <w:rPr>
          <w:sz w:val="26"/>
          <w:szCs w:val="26"/>
        </w:rPr>
        <w:t xml:space="preserve">established </w:t>
      </w:r>
      <w:r w:rsidRPr="00E951F4">
        <w:rPr>
          <w:sz w:val="26"/>
          <w:szCs w:val="26"/>
        </w:rPr>
        <w:t>and</w:t>
      </w:r>
      <w:r w:rsidR="00830468" w:rsidRPr="00E951F4">
        <w:rPr>
          <w:sz w:val="26"/>
          <w:szCs w:val="26"/>
        </w:rPr>
        <w:t xml:space="preserve">, as a result, </w:t>
      </w:r>
      <w:r w:rsidRPr="00E951F4">
        <w:rPr>
          <w:sz w:val="26"/>
          <w:szCs w:val="26"/>
        </w:rPr>
        <w:t>proposed a requirement that five EGSs commit to provid</w:t>
      </w:r>
      <w:r w:rsidR="00830468" w:rsidRPr="00E951F4">
        <w:rPr>
          <w:sz w:val="26"/>
          <w:szCs w:val="26"/>
        </w:rPr>
        <w:t>ing</w:t>
      </w:r>
      <w:r w:rsidRPr="00E951F4">
        <w:rPr>
          <w:sz w:val="26"/>
          <w:szCs w:val="26"/>
        </w:rPr>
        <w:t xml:space="preserve"> compliant offers before the Company incurred the costs necessary to operate the program.</w:t>
      </w:r>
      <w:r w:rsidR="00830468" w:rsidRPr="00E951F4">
        <w:rPr>
          <w:sz w:val="26"/>
          <w:szCs w:val="26"/>
        </w:rPr>
        <w:t xml:space="preserve">  The Company also note</w:t>
      </w:r>
      <w:r w:rsidR="004311F5" w:rsidRPr="00E951F4">
        <w:rPr>
          <w:sz w:val="26"/>
          <w:szCs w:val="26"/>
        </w:rPr>
        <w:t>s</w:t>
      </w:r>
      <w:r w:rsidR="00830468" w:rsidRPr="00E951F4">
        <w:rPr>
          <w:sz w:val="26"/>
          <w:szCs w:val="26"/>
        </w:rPr>
        <w:t xml:space="preserve"> that during this </w:t>
      </w:r>
      <w:r w:rsidRPr="00E951F4">
        <w:rPr>
          <w:sz w:val="26"/>
          <w:szCs w:val="26"/>
        </w:rPr>
        <w:t xml:space="preserve">proceeding, CAUSE-PA and </w:t>
      </w:r>
      <w:r w:rsidR="00830468" w:rsidRPr="00E951F4">
        <w:rPr>
          <w:sz w:val="26"/>
          <w:szCs w:val="26"/>
        </w:rPr>
        <w:t xml:space="preserve">the </w:t>
      </w:r>
      <w:r w:rsidRPr="00E951F4">
        <w:rPr>
          <w:sz w:val="26"/>
          <w:szCs w:val="26"/>
        </w:rPr>
        <w:t>OCA expressed significant concerns</w:t>
      </w:r>
      <w:r w:rsidR="009306FF" w:rsidRPr="00E951F4">
        <w:rPr>
          <w:sz w:val="26"/>
          <w:szCs w:val="26"/>
        </w:rPr>
        <w:t xml:space="preserve">, </w:t>
      </w:r>
      <w:r w:rsidR="00302529" w:rsidRPr="00E951F4">
        <w:rPr>
          <w:sz w:val="26"/>
          <w:szCs w:val="26"/>
        </w:rPr>
        <w:t xml:space="preserve">similar to the concerns expressed in the </w:t>
      </w:r>
      <w:r w:rsidR="00302529" w:rsidRPr="00E951F4">
        <w:rPr>
          <w:i/>
          <w:iCs/>
          <w:sz w:val="26"/>
          <w:szCs w:val="26"/>
        </w:rPr>
        <w:t>PPL DSP</w:t>
      </w:r>
      <w:r w:rsidR="00635F98" w:rsidRPr="00E951F4">
        <w:rPr>
          <w:i/>
          <w:iCs/>
          <w:sz w:val="26"/>
          <w:szCs w:val="26"/>
        </w:rPr>
        <w:t xml:space="preserve"> P</w:t>
      </w:r>
      <w:r w:rsidR="00302529" w:rsidRPr="00E951F4">
        <w:rPr>
          <w:i/>
          <w:iCs/>
          <w:sz w:val="26"/>
          <w:szCs w:val="26"/>
        </w:rPr>
        <w:t>roceeding</w:t>
      </w:r>
      <w:r w:rsidR="00302529" w:rsidRPr="00E951F4">
        <w:rPr>
          <w:sz w:val="26"/>
          <w:szCs w:val="26"/>
        </w:rPr>
        <w:t>,</w:t>
      </w:r>
      <w:r w:rsidRPr="00E951F4">
        <w:rPr>
          <w:sz w:val="26"/>
          <w:szCs w:val="26"/>
        </w:rPr>
        <w:t xml:space="preserve"> about </w:t>
      </w:r>
      <w:r w:rsidR="00C0290D" w:rsidRPr="00E951F4">
        <w:rPr>
          <w:sz w:val="26"/>
          <w:szCs w:val="26"/>
        </w:rPr>
        <w:t xml:space="preserve">documented problems associated with </w:t>
      </w:r>
      <w:r w:rsidRPr="00E951F4">
        <w:rPr>
          <w:sz w:val="26"/>
          <w:szCs w:val="26"/>
        </w:rPr>
        <w:t>CAP shopping</w:t>
      </w:r>
      <w:r w:rsidR="00302529" w:rsidRPr="00E951F4">
        <w:rPr>
          <w:sz w:val="26"/>
          <w:szCs w:val="26"/>
        </w:rPr>
        <w:t>.</w:t>
      </w:r>
      <w:r w:rsidRPr="00E951F4">
        <w:rPr>
          <w:sz w:val="26"/>
          <w:szCs w:val="26"/>
        </w:rPr>
        <w:t xml:space="preserve"> </w:t>
      </w:r>
      <w:r w:rsidR="004311F5" w:rsidRPr="00E951F4">
        <w:rPr>
          <w:sz w:val="26"/>
          <w:szCs w:val="26"/>
        </w:rPr>
        <w:t xml:space="preserve"> </w:t>
      </w:r>
      <w:r w:rsidR="009F393F" w:rsidRPr="00E951F4">
        <w:rPr>
          <w:sz w:val="26"/>
          <w:szCs w:val="26"/>
        </w:rPr>
        <w:t xml:space="preserve">Duquesne Light submits that because the Parties realized the Commission would </w:t>
      </w:r>
      <w:r w:rsidR="002A5C3C" w:rsidRPr="00E951F4">
        <w:rPr>
          <w:sz w:val="26"/>
          <w:szCs w:val="26"/>
        </w:rPr>
        <w:t xml:space="preserve">consider CAP shopping </w:t>
      </w:r>
      <w:r w:rsidRPr="00E951F4">
        <w:rPr>
          <w:sz w:val="26"/>
          <w:szCs w:val="26"/>
        </w:rPr>
        <w:t xml:space="preserve">issues in the </w:t>
      </w:r>
      <w:r w:rsidRPr="00E951F4">
        <w:rPr>
          <w:i/>
          <w:iCs/>
          <w:sz w:val="26"/>
          <w:szCs w:val="26"/>
        </w:rPr>
        <w:t xml:space="preserve">PPL DSP </w:t>
      </w:r>
      <w:r w:rsidR="00C0290D" w:rsidRPr="00E951F4">
        <w:rPr>
          <w:i/>
          <w:iCs/>
          <w:sz w:val="26"/>
          <w:szCs w:val="26"/>
        </w:rPr>
        <w:t>Proceeding</w:t>
      </w:r>
      <w:r w:rsidR="00C0290D" w:rsidRPr="00E951F4">
        <w:rPr>
          <w:sz w:val="26"/>
          <w:szCs w:val="26"/>
        </w:rPr>
        <w:t xml:space="preserve"> </w:t>
      </w:r>
      <w:r w:rsidRPr="00E951F4">
        <w:rPr>
          <w:sz w:val="26"/>
          <w:szCs w:val="26"/>
        </w:rPr>
        <w:t>prior to reviewing Duquesne Light</w:t>
      </w:r>
      <w:r w:rsidR="00887DD3" w:rsidRPr="00E951F4">
        <w:rPr>
          <w:sz w:val="26"/>
          <w:szCs w:val="26"/>
        </w:rPr>
        <w:t>’s</w:t>
      </w:r>
      <w:r w:rsidRPr="00E951F4">
        <w:rPr>
          <w:sz w:val="26"/>
          <w:szCs w:val="26"/>
        </w:rPr>
        <w:t xml:space="preserve"> DSP IX </w:t>
      </w:r>
      <w:r w:rsidR="00887DD3" w:rsidRPr="00E951F4">
        <w:rPr>
          <w:sz w:val="26"/>
          <w:szCs w:val="26"/>
        </w:rPr>
        <w:t>P</w:t>
      </w:r>
      <w:r w:rsidRPr="00E951F4">
        <w:rPr>
          <w:sz w:val="26"/>
          <w:szCs w:val="26"/>
        </w:rPr>
        <w:t>lan</w:t>
      </w:r>
      <w:r w:rsidR="00887DD3" w:rsidRPr="00E951F4">
        <w:rPr>
          <w:sz w:val="26"/>
          <w:szCs w:val="26"/>
        </w:rPr>
        <w:t>, t</w:t>
      </w:r>
      <w:r w:rsidRPr="00E951F4">
        <w:rPr>
          <w:sz w:val="26"/>
          <w:szCs w:val="26"/>
        </w:rPr>
        <w:t xml:space="preserve">he </w:t>
      </w:r>
      <w:r w:rsidR="00887DD3" w:rsidRPr="00E951F4">
        <w:rPr>
          <w:sz w:val="26"/>
          <w:szCs w:val="26"/>
        </w:rPr>
        <w:t>P</w:t>
      </w:r>
      <w:r w:rsidRPr="00E951F4">
        <w:rPr>
          <w:sz w:val="26"/>
          <w:szCs w:val="26"/>
        </w:rPr>
        <w:t>arties</w:t>
      </w:r>
      <w:r w:rsidR="00887DD3" w:rsidRPr="00E951F4">
        <w:rPr>
          <w:sz w:val="26"/>
          <w:szCs w:val="26"/>
        </w:rPr>
        <w:t>,</w:t>
      </w:r>
      <w:r w:rsidRPr="00E951F4">
        <w:rPr>
          <w:sz w:val="26"/>
          <w:szCs w:val="26"/>
        </w:rPr>
        <w:t xml:space="preserve"> other than the EGS Parties</w:t>
      </w:r>
      <w:r w:rsidR="00887DD3" w:rsidRPr="00E951F4">
        <w:rPr>
          <w:sz w:val="26"/>
          <w:szCs w:val="26"/>
        </w:rPr>
        <w:t>,</w:t>
      </w:r>
      <w:r w:rsidRPr="00E951F4">
        <w:rPr>
          <w:sz w:val="26"/>
          <w:szCs w:val="26"/>
        </w:rPr>
        <w:t xml:space="preserve"> entered into the CAP Shopping Stipulation.</w:t>
      </w:r>
      <w:r w:rsidR="005C1B2B" w:rsidRPr="00E951F4">
        <w:rPr>
          <w:sz w:val="26"/>
          <w:szCs w:val="26"/>
        </w:rPr>
        <w:t xml:space="preserve">  Duquesne Light R. Exc. at 5.</w:t>
      </w:r>
      <w:r w:rsidR="00887DD3" w:rsidRPr="00E951F4">
        <w:rPr>
          <w:sz w:val="26"/>
          <w:szCs w:val="26"/>
        </w:rPr>
        <w:t xml:space="preserve">  </w:t>
      </w:r>
    </w:p>
    <w:p w14:paraId="45CCAC83" w14:textId="77777777" w:rsidR="00E8461A" w:rsidRPr="00E951F4" w:rsidRDefault="00E8461A" w:rsidP="00E951F4">
      <w:pPr>
        <w:widowControl/>
        <w:kinsoku w:val="0"/>
        <w:overflowPunct w:val="0"/>
        <w:spacing w:line="360" w:lineRule="auto"/>
        <w:ind w:left="72" w:firstLine="720"/>
        <w:textAlignment w:val="baseline"/>
        <w:rPr>
          <w:sz w:val="26"/>
          <w:szCs w:val="26"/>
        </w:rPr>
      </w:pPr>
    </w:p>
    <w:p w14:paraId="0C85063D" w14:textId="14E9DE8C" w:rsidR="00922DB4" w:rsidRPr="00E951F4" w:rsidRDefault="002A74D1" w:rsidP="00E951F4">
      <w:pPr>
        <w:widowControl/>
        <w:kinsoku w:val="0"/>
        <w:overflowPunct w:val="0"/>
        <w:spacing w:line="360" w:lineRule="auto"/>
        <w:ind w:firstLine="1440"/>
        <w:textAlignment w:val="baseline"/>
        <w:rPr>
          <w:b/>
          <w:bCs/>
          <w:sz w:val="26"/>
          <w:szCs w:val="26"/>
        </w:rPr>
      </w:pPr>
      <w:r w:rsidRPr="00E951F4">
        <w:rPr>
          <w:sz w:val="26"/>
          <w:szCs w:val="26"/>
        </w:rPr>
        <w:t xml:space="preserve">Duquesne Light avers that the </w:t>
      </w:r>
      <w:r w:rsidR="00922DB4" w:rsidRPr="00E951F4">
        <w:rPr>
          <w:sz w:val="26"/>
          <w:szCs w:val="26"/>
        </w:rPr>
        <w:t xml:space="preserve">ALJ </w:t>
      </w:r>
      <w:r w:rsidRPr="00E951F4">
        <w:rPr>
          <w:sz w:val="26"/>
          <w:szCs w:val="26"/>
        </w:rPr>
        <w:t>properly</w:t>
      </w:r>
      <w:r w:rsidR="00922DB4" w:rsidRPr="00E951F4">
        <w:rPr>
          <w:sz w:val="26"/>
          <w:szCs w:val="26"/>
        </w:rPr>
        <w:t xml:space="preserve"> recognized the judicial efficiency of this approach </w:t>
      </w:r>
      <w:r w:rsidR="00B15E4C" w:rsidRPr="00E951F4">
        <w:rPr>
          <w:sz w:val="26"/>
          <w:szCs w:val="26"/>
        </w:rPr>
        <w:t>in</w:t>
      </w:r>
      <w:r w:rsidR="00922DB4" w:rsidRPr="00E951F4">
        <w:rPr>
          <w:sz w:val="26"/>
          <w:szCs w:val="26"/>
        </w:rPr>
        <w:t xml:space="preserve"> recommend</w:t>
      </w:r>
      <w:r w:rsidR="00B15E4C" w:rsidRPr="00E951F4">
        <w:rPr>
          <w:sz w:val="26"/>
          <w:szCs w:val="26"/>
        </w:rPr>
        <w:t>ing</w:t>
      </w:r>
      <w:r w:rsidR="00922DB4" w:rsidRPr="00E951F4">
        <w:rPr>
          <w:sz w:val="26"/>
          <w:szCs w:val="26"/>
        </w:rPr>
        <w:t xml:space="preserve"> approval of the CAP Shopping Stipulation.</w:t>
      </w:r>
      <w:r w:rsidR="009330A2" w:rsidRPr="00E951F4">
        <w:rPr>
          <w:sz w:val="26"/>
          <w:szCs w:val="26"/>
        </w:rPr>
        <w:t xml:space="preserve">  Duquesne Light also disagrees with the EGS Parties’ </w:t>
      </w:r>
      <w:r w:rsidR="00CE0EFA" w:rsidRPr="00E951F4">
        <w:rPr>
          <w:sz w:val="26"/>
          <w:szCs w:val="26"/>
        </w:rPr>
        <w:t xml:space="preserve">argument that the </w:t>
      </w:r>
      <w:r w:rsidR="00922DB4" w:rsidRPr="00E951F4">
        <w:rPr>
          <w:sz w:val="26"/>
          <w:szCs w:val="26"/>
        </w:rPr>
        <w:t xml:space="preserve">Competition Act requires the Commission to </w:t>
      </w:r>
      <w:r w:rsidR="00CE0EFA" w:rsidRPr="00E951F4">
        <w:rPr>
          <w:sz w:val="26"/>
          <w:szCs w:val="26"/>
        </w:rPr>
        <w:t>allow</w:t>
      </w:r>
      <w:r w:rsidR="00922DB4" w:rsidRPr="00E951F4">
        <w:rPr>
          <w:sz w:val="26"/>
          <w:szCs w:val="26"/>
        </w:rPr>
        <w:t xml:space="preserve"> CAP customers to shop. </w:t>
      </w:r>
      <w:r w:rsidR="00CE0EFA" w:rsidRPr="00E951F4">
        <w:rPr>
          <w:sz w:val="26"/>
          <w:szCs w:val="26"/>
        </w:rPr>
        <w:t xml:space="preserve"> The Company states that </w:t>
      </w:r>
      <w:r w:rsidR="00922DB4" w:rsidRPr="00E951F4">
        <w:rPr>
          <w:sz w:val="26"/>
          <w:szCs w:val="26"/>
        </w:rPr>
        <w:t>CAP customers can choose to withdraw from CAP if they wish to shop, and the Commission can set conditions for participating in CAP</w:t>
      </w:r>
      <w:r w:rsidR="00CE0EFA" w:rsidRPr="00E951F4">
        <w:rPr>
          <w:sz w:val="26"/>
          <w:szCs w:val="26"/>
        </w:rPr>
        <w:t xml:space="preserve">, consistent with </w:t>
      </w:r>
      <w:r w:rsidR="00922DB4" w:rsidRPr="00E951F4">
        <w:rPr>
          <w:i/>
          <w:iCs/>
          <w:sz w:val="26"/>
          <w:szCs w:val="26"/>
        </w:rPr>
        <w:t xml:space="preserve">CAUSE-PA v. </w:t>
      </w:r>
      <w:r w:rsidR="00CE0EFA" w:rsidRPr="00E951F4">
        <w:rPr>
          <w:i/>
          <w:iCs/>
          <w:sz w:val="26"/>
          <w:szCs w:val="26"/>
        </w:rPr>
        <w:t xml:space="preserve">Pa. </w:t>
      </w:r>
      <w:r w:rsidR="00922DB4" w:rsidRPr="00E951F4">
        <w:rPr>
          <w:i/>
          <w:iCs/>
          <w:sz w:val="26"/>
          <w:szCs w:val="26"/>
        </w:rPr>
        <w:t>PUC</w:t>
      </w:r>
      <w:r w:rsidR="00925C2D" w:rsidRPr="00E951F4">
        <w:rPr>
          <w:i/>
          <w:iCs/>
          <w:sz w:val="26"/>
          <w:szCs w:val="26"/>
        </w:rPr>
        <w:t xml:space="preserve"> (CAUSE-PA)</w:t>
      </w:r>
      <w:r w:rsidR="00922DB4" w:rsidRPr="00A812F8">
        <w:rPr>
          <w:sz w:val="26"/>
          <w:szCs w:val="26"/>
        </w:rPr>
        <w:t>,</w:t>
      </w:r>
      <w:r w:rsidR="00922DB4" w:rsidRPr="00E951F4">
        <w:rPr>
          <w:i/>
          <w:iCs/>
          <w:sz w:val="26"/>
          <w:szCs w:val="26"/>
        </w:rPr>
        <w:t xml:space="preserve"> </w:t>
      </w:r>
      <w:r w:rsidR="00922DB4" w:rsidRPr="00E951F4">
        <w:rPr>
          <w:sz w:val="26"/>
          <w:szCs w:val="26"/>
        </w:rPr>
        <w:t>130 A.2d 1087 (</w:t>
      </w:r>
      <w:r w:rsidR="004F31F9" w:rsidRPr="00E951F4">
        <w:rPr>
          <w:sz w:val="26"/>
          <w:szCs w:val="26"/>
        </w:rPr>
        <w:t>Pa. Cmwlth.</w:t>
      </w:r>
      <w:r w:rsidR="00922DB4" w:rsidRPr="00E951F4">
        <w:rPr>
          <w:sz w:val="26"/>
          <w:szCs w:val="26"/>
        </w:rPr>
        <w:t xml:space="preserve"> 2015).</w:t>
      </w:r>
      <w:r w:rsidR="005C1B2B" w:rsidRPr="00E951F4">
        <w:rPr>
          <w:b/>
          <w:bCs/>
          <w:sz w:val="26"/>
          <w:szCs w:val="26"/>
        </w:rPr>
        <w:t xml:space="preserve">  </w:t>
      </w:r>
      <w:r w:rsidR="005C1B2B" w:rsidRPr="00E951F4">
        <w:rPr>
          <w:sz w:val="26"/>
          <w:szCs w:val="26"/>
        </w:rPr>
        <w:t>Duquesne Light R. Exc. at</w:t>
      </w:r>
      <w:r w:rsidR="004E04E5" w:rsidRPr="00E951F4">
        <w:rPr>
          <w:sz w:val="26"/>
          <w:szCs w:val="26"/>
        </w:rPr>
        <w:t> </w:t>
      </w:r>
      <w:r w:rsidR="005C1B2B" w:rsidRPr="00E951F4">
        <w:rPr>
          <w:sz w:val="26"/>
          <w:szCs w:val="26"/>
        </w:rPr>
        <w:t>5-6.</w:t>
      </w:r>
    </w:p>
    <w:p w14:paraId="4BEA6B6C" w14:textId="4156B79E" w:rsidR="00023A98" w:rsidRPr="00E951F4" w:rsidRDefault="00023A98" w:rsidP="00E951F4">
      <w:pPr>
        <w:keepNext/>
        <w:widowControl/>
        <w:kinsoku w:val="0"/>
        <w:overflowPunct w:val="0"/>
        <w:spacing w:line="360" w:lineRule="auto"/>
        <w:ind w:left="720" w:firstLine="720"/>
        <w:textAlignment w:val="baseline"/>
        <w:rPr>
          <w:b/>
          <w:bCs/>
          <w:sz w:val="26"/>
          <w:szCs w:val="26"/>
        </w:rPr>
      </w:pPr>
      <w:r w:rsidRPr="00E951F4">
        <w:rPr>
          <w:b/>
          <w:bCs/>
          <w:sz w:val="26"/>
          <w:szCs w:val="26"/>
        </w:rPr>
        <w:lastRenderedPageBreak/>
        <w:t>OCA</w:t>
      </w:r>
      <w:r w:rsidR="00BA2538" w:rsidRPr="00E951F4">
        <w:rPr>
          <w:b/>
          <w:bCs/>
          <w:sz w:val="26"/>
          <w:szCs w:val="26"/>
        </w:rPr>
        <w:t xml:space="preserve"> Replies</w:t>
      </w:r>
    </w:p>
    <w:p w14:paraId="7C1D9E98" w14:textId="77777777" w:rsidR="000C739D" w:rsidRPr="00E951F4" w:rsidRDefault="000C739D" w:rsidP="00E951F4">
      <w:pPr>
        <w:keepNext/>
        <w:widowControl/>
        <w:kinsoku w:val="0"/>
        <w:overflowPunct w:val="0"/>
        <w:spacing w:line="360" w:lineRule="auto"/>
        <w:ind w:firstLine="1440"/>
        <w:textAlignment w:val="baseline"/>
        <w:rPr>
          <w:sz w:val="26"/>
          <w:szCs w:val="26"/>
        </w:rPr>
      </w:pPr>
    </w:p>
    <w:p w14:paraId="38405103" w14:textId="3792218B" w:rsidR="00E53AED" w:rsidRPr="00E951F4" w:rsidRDefault="00874E75" w:rsidP="00E951F4">
      <w:pPr>
        <w:keepNext/>
        <w:widowControl/>
        <w:kinsoku w:val="0"/>
        <w:overflowPunct w:val="0"/>
        <w:spacing w:line="360" w:lineRule="auto"/>
        <w:ind w:firstLine="1440"/>
        <w:textAlignment w:val="baseline"/>
        <w:rPr>
          <w:sz w:val="26"/>
          <w:szCs w:val="26"/>
        </w:rPr>
      </w:pPr>
      <w:r w:rsidRPr="00E951F4">
        <w:rPr>
          <w:sz w:val="26"/>
          <w:szCs w:val="26"/>
        </w:rPr>
        <w:t>In its Replies to Exceptions, the OCA</w:t>
      </w:r>
      <w:r w:rsidR="006D0CA7" w:rsidRPr="00E951F4">
        <w:rPr>
          <w:sz w:val="26"/>
          <w:szCs w:val="26"/>
        </w:rPr>
        <w:t xml:space="preserve"> </w:t>
      </w:r>
      <w:r w:rsidR="00E37DF2" w:rsidRPr="00E951F4">
        <w:rPr>
          <w:sz w:val="26"/>
          <w:szCs w:val="26"/>
        </w:rPr>
        <w:t xml:space="preserve">avers that the </w:t>
      </w:r>
      <w:r w:rsidR="008D0755" w:rsidRPr="00E951F4">
        <w:rPr>
          <w:sz w:val="26"/>
          <w:szCs w:val="26"/>
        </w:rPr>
        <w:t xml:space="preserve">ALJ properly </w:t>
      </w:r>
      <w:r w:rsidR="009A228A" w:rsidRPr="00E951F4">
        <w:rPr>
          <w:sz w:val="26"/>
          <w:szCs w:val="26"/>
        </w:rPr>
        <w:t xml:space="preserve">approved the CAP Shopping Stipulation </w:t>
      </w:r>
      <w:r w:rsidR="00CB70C9" w:rsidRPr="00E951F4">
        <w:rPr>
          <w:sz w:val="26"/>
          <w:szCs w:val="26"/>
        </w:rPr>
        <w:t xml:space="preserve">that defers Duquesne Light’s submission of a CAP </w:t>
      </w:r>
      <w:r w:rsidR="00A526A2" w:rsidRPr="00E951F4">
        <w:rPr>
          <w:sz w:val="26"/>
          <w:szCs w:val="26"/>
        </w:rPr>
        <w:t>S</w:t>
      </w:r>
      <w:r w:rsidR="00CB70C9" w:rsidRPr="00E951F4">
        <w:rPr>
          <w:sz w:val="26"/>
          <w:szCs w:val="26"/>
        </w:rPr>
        <w:t>hopping plan.</w:t>
      </w:r>
      <w:r w:rsidR="00211A24" w:rsidRPr="00E951F4">
        <w:rPr>
          <w:sz w:val="26"/>
          <w:szCs w:val="26"/>
        </w:rPr>
        <w:t xml:space="preserve">  </w:t>
      </w:r>
      <w:r w:rsidR="00EC057E" w:rsidRPr="00E951F4">
        <w:rPr>
          <w:sz w:val="26"/>
          <w:szCs w:val="26"/>
        </w:rPr>
        <w:t xml:space="preserve">OCA R. Exc. at 4.  </w:t>
      </w:r>
      <w:r w:rsidR="004C3510" w:rsidRPr="00E951F4">
        <w:rPr>
          <w:sz w:val="26"/>
          <w:szCs w:val="26"/>
        </w:rPr>
        <w:t>T</w:t>
      </w:r>
      <w:r w:rsidR="00E53AED" w:rsidRPr="00E951F4">
        <w:rPr>
          <w:sz w:val="26"/>
          <w:szCs w:val="26"/>
        </w:rPr>
        <w:t xml:space="preserve">he OCA </w:t>
      </w:r>
      <w:r w:rsidR="004C3510" w:rsidRPr="00E951F4">
        <w:rPr>
          <w:sz w:val="26"/>
          <w:szCs w:val="26"/>
        </w:rPr>
        <w:t>believes that moving</w:t>
      </w:r>
      <w:r w:rsidR="00E53AED" w:rsidRPr="00E951F4">
        <w:rPr>
          <w:sz w:val="26"/>
          <w:szCs w:val="26"/>
        </w:rPr>
        <w:t xml:space="preserve"> forward with Duquesne</w:t>
      </w:r>
      <w:r w:rsidR="004C3510" w:rsidRPr="00E951F4">
        <w:rPr>
          <w:sz w:val="26"/>
          <w:szCs w:val="26"/>
        </w:rPr>
        <w:t xml:space="preserve"> Light’s</w:t>
      </w:r>
      <w:r w:rsidR="00E53AED" w:rsidRPr="00E951F4">
        <w:rPr>
          <w:sz w:val="26"/>
          <w:szCs w:val="26"/>
        </w:rPr>
        <w:t xml:space="preserve"> CAP Shopping proposal would inevitably result in litigation of most of the same issues </w:t>
      </w:r>
      <w:r w:rsidR="00B1585E" w:rsidRPr="00E951F4">
        <w:rPr>
          <w:sz w:val="26"/>
          <w:szCs w:val="26"/>
        </w:rPr>
        <w:t>considered in</w:t>
      </w:r>
      <w:r w:rsidR="00E53AED" w:rsidRPr="00E951F4">
        <w:rPr>
          <w:sz w:val="26"/>
          <w:szCs w:val="26"/>
        </w:rPr>
        <w:t xml:space="preserve"> the </w:t>
      </w:r>
      <w:r w:rsidR="00E53AED" w:rsidRPr="00E951F4">
        <w:rPr>
          <w:i/>
          <w:iCs/>
          <w:sz w:val="26"/>
          <w:szCs w:val="26"/>
        </w:rPr>
        <w:t xml:space="preserve">PPL DSP </w:t>
      </w:r>
      <w:r w:rsidR="00F92A5D" w:rsidRPr="00E951F4">
        <w:rPr>
          <w:i/>
          <w:iCs/>
          <w:sz w:val="26"/>
          <w:szCs w:val="26"/>
        </w:rPr>
        <w:t>P</w:t>
      </w:r>
      <w:r w:rsidR="00E53AED" w:rsidRPr="00E951F4">
        <w:rPr>
          <w:i/>
          <w:iCs/>
          <w:sz w:val="26"/>
          <w:szCs w:val="26"/>
        </w:rPr>
        <w:t>roceeding</w:t>
      </w:r>
      <w:r w:rsidR="00DF6099" w:rsidRPr="00E951F4">
        <w:rPr>
          <w:sz w:val="26"/>
          <w:szCs w:val="26"/>
        </w:rPr>
        <w:t xml:space="preserve"> and, accordingly, that waiting for</w:t>
      </w:r>
      <w:r w:rsidR="00E53AED" w:rsidRPr="00E951F4">
        <w:rPr>
          <w:sz w:val="26"/>
          <w:szCs w:val="26"/>
        </w:rPr>
        <w:t xml:space="preserve"> a decision in </w:t>
      </w:r>
      <w:r w:rsidR="00F92A5D" w:rsidRPr="00E951F4">
        <w:rPr>
          <w:sz w:val="26"/>
          <w:szCs w:val="26"/>
        </w:rPr>
        <w:t>that</w:t>
      </w:r>
      <w:r w:rsidR="00DF6099" w:rsidRPr="00E951F4">
        <w:rPr>
          <w:sz w:val="26"/>
          <w:szCs w:val="26"/>
        </w:rPr>
        <w:t xml:space="preserve"> </w:t>
      </w:r>
      <w:r w:rsidR="00E53AED" w:rsidRPr="00E951F4">
        <w:rPr>
          <w:sz w:val="26"/>
          <w:szCs w:val="26"/>
        </w:rPr>
        <w:t xml:space="preserve">case </w:t>
      </w:r>
      <w:r w:rsidR="00DF6099" w:rsidRPr="00E951F4">
        <w:rPr>
          <w:sz w:val="26"/>
          <w:szCs w:val="26"/>
        </w:rPr>
        <w:t>is</w:t>
      </w:r>
      <w:r w:rsidR="00E53AED" w:rsidRPr="00E951F4">
        <w:rPr>
          <w:sz w:val="26"/>
          <w:szCs w:val="26"/>
        </w:rPr>
        <w:t xml:space="preserve"> a prudent exercise in administrative economy. </w:t>
      </w:r>
      <w:r w:rsidR="00953927" w:rsidRPr="00E951F4">
        <w:rPr>
          <w:sz w:val="26"/>
          <w:szCs w:val="26"/>
        </w:rPr>
        <w:t xml:space="preserve"> The OCA states that </w:t>
      </w:r>
      <w:r w:rsidR="00E53AED" w:rsidRPr="00E951F4">
        <w:rPr>
          <w:sz w:val="26"/>
          <w:szCs w:val="26"/>
        </w:rPr>
        <w:t xml:space="preserve">Duquesne </w:t>
      </w:r>
      <w:r w:rsidR="00953927" w:rsidRPr="00E951F4">
        <w:rPr>
          <w:sz w:val="26"/>
          <w:szCs w:val="26"/>
        </w:rPr>
        <w:t xml:space="preserve">Light </w:t>
      </w:r>
      <w:r w:rsidR="00E53AED" w:rsidRPr="00E951F4">
        <w:rPr>
          <w:sz w:val="26"/>
          <w:szCs w:val="26"/>
        </w:rPr>
        <w:t xml:space="preserve">will then have the benefit of the </w:t>
      </w:r>
      <w:r w:rsidR="00E53AED" w:rsidRPr="00E951F4">
        <w:rPr>
          <w:i/>
          <w:iCs/>
          <w:sz w:val="26"/>
          <w:szCs w:val="26"/>
        </w:rPr>
        <w:t xml:space="preserve">PPL </w:t>
      </w:r>
      <w:r w:rsidR="00953927" w:rsidRPr="00E951F4">
        <w:rPr>
          <w:i/>
          <w:iCs/>
          <w:sz w:val="26"/>
          <w:szCs w:val="26"/>
        </w:rPr>
        <w:t xml:space="preserve">DSP </w:t>
      </w:r>
      <w:r w:rsidR="00F92A5D" w:rsidRPr="00E951F4">
        <w:rPr>
          <w:i/>
          <w:iCs/>
          <w:sz w:val="26"/>
          <w:szCs w:val="26"/>
        </w:rPr>
        <w:t>Proceeding</w:t>
      </w:r>
      <w:r w:rsidR="00F92A5D" w:rsidRPr="00E951F4">
        <w:rPr>
          <w:sz w:val="26"/>
          <w:szCs w:val="26"/>
        </w:rPr>
        <w:t xml:space="preserve"> </w:t>
      </w:r>
      <w:r w:rsidR="00E53AED" w:rsidRPr="00E951F4">
        <w:rPr>
          <w:sz w:val="26"/>
          <w:szCs w:val="26"/>
        </w:rPr>
        <w:t xml:space="preserve">decision to design its revised CAP Shopping plan.  </w:t>
      </w:r>
      <w:r w:rsidR="00833B69" w:rsidRPr="00E951F4">
        <w:rPr>
          <w:sz w:val="26"/>
          <w:szCs w:val="26"/>
        </w:rPr>
        <w:t xml:space="preserve">The OCA also states that </w:t>
      </w:r>
      <w:r w:rsidR="00E53AED" w:rsidRPr="00E951F4">
        <w:rPr>
          <w:sz w:val="26"/>
          <w:szCs w:val="26"/>
        </w:rPr>
        <w:t xml:space="preserve">it is reasonable to wait for </w:t>
      </w:r>
      <w:r w:rsidR="00833B69" w:rsidRPr="00E951F4">
        <w:rPr>
          <w:sz w:val="26"/>
          <w:szCs w:val="26"/>
        </w:rPr>
        <w:t>ad</w:t>
      </w:r>
      <w:r w:rsidR="00E53AED" w:rsidRPr="00E951F4">
        <w:rPr>
          <w:sz w:val="26"/>
          <w:szCs w:val="26"/>
        </w:rPr>
        <w:t xml:space="preserve">ditional clarity from the Commission and/or courts before </w:t>
      </w:r>
      <w:r w:rsidR="006063D5" w:rsidRPr="00E951F4">
        <w:rPr>
          <w:sz w:val="26"/>
          <w:szCs w:val="26"/>
        </w:rPr>
        <w:t>proceeding</w:t>
      </w:r>
      <w:r w:rsidR="00E53AED" w:rsidRPr="00E951F4">
        <w:rPr>
          <w:sz w:val="26"/>
          <w:szCs w:val="26"/>
        </w:rPr>
        <w:t xml:space="preserve"> with CAP Shopping</w:t>
      </w:r>
      <w:r w:rsidR="00F46A97" w:rsidRPr="00E951F4">
        <w:rPr>
          <w:sz w:val="26"/>
          <w:szCs w:val="26"/>
        </w:rPr>
        <w:t xml:space="preserve"> in the Company’s service territory</w:t>
      </w:r>
      <w:r w:rsidR="00E53AED" w:rsidRPr="00E951F4">
        <w:rPr>
          <w:sz w:val="26"/>
          <w:szCs w:val="26"/>
        </w:rPr>
        <w:t xml:space="preserve">. </w:t>
      </w:r>
      <w:r w:rsidR="00F46A97" w:rsidRPr="00E951F4">
        <w:rPr>
          <w:sz w:val="26"/>
          <w:szCs w:val="26"/>
        </w:rPr>
        <w:t xml:space="preserve"> </w:t>
      </w:r>
      <w:r w:rsidR="002241B5" w:rsidRPr="00E951F4">
        <w:rPr>
          <w:i/>
          <w:iCs/>
          <w:sz w:val="26"/>
          <w:szCs w:val="26"/>
        </w:rPr>
        <w:t>Id</w:t>
      </w:r>
      <w:r w:rsidR="002241B5" w:rsidRPr="00E951F4">
        <w:rPr>
          <w:sz w:val="26"/>
          <w:szCs w:val="26"/>
        </w:rPr>
        <w:t>. at 5.</w:t>
      </w:r>
    </w:p>
    <w:p w14:paraId="517C79BB" w14:textId="77777777" w:rsidR="008F2484" w:rsidRPr="00E951F4" w:rsidRDefault="008F2484" w:rsidP="00E951F4">
      <w:pPr>
        <w:widowControl/>
        <w:kinsoku w:val="0"/>
        <w:overflowPunct w:val="0"/>
        <w:spacing w:line="360" w:lineRule="auto"/>
        <w:ind w:firstLine="1440"/>
        <w:textAlignment w:val="baseline"/>
        <w:rPr>
          <w:sz w:val="26"/>
          <w:szCs w:val="26"/>
        </w:rPr>
      </w:pPr>
    </w:p>
    <w:p w14:paraId="30407201" w14:textId="51464B5B" w:rsidR="002241B5" w:rsidRPr="00E951F4" w:rsidRDefault="002241B5" w:rsidP="00E951F4">
      <w:pPr>
        <w:keepNext/>
        <w:widowControl/>
        <w:kinsoku w:val="0"/>
        <w:overflowPunct w:val="0"/>
        <w:spacing w:line="360" w:lineRule="auto"/>
        <w:ind w:left="720" w:firstLine="720"/>
        <w:textAlignment w:val="baseline"/>
        <w:rPr>
          <w:b/>
          <w:bCs/>
          <w:sz w:val="26"/>
          <w:szCs w:val="26"/>
        </w:rPr>
      </w:pPr>
      <w:r w:rsidRPr="00E951F4">
        <w:rPr>
          <w:b/>
          <w:bCs/>
          <w:sz w:val="26"/>
          <w:szCs w:val="26"/>
        </w:rPr>
        <w:t>CAUSE-PA</w:t>
      </w:r>
      <w:r w:rsidR="00C47B6F" w:rsidRPr="00E951F4">
        <w:rPr>
          <w:b/>
          <w:bCs/>
          <w:sz w:val="26"/>
          <w:szCs w:val="26"/>
        </w:rPr>
        <w:t xml:space="preserve"> Replies</w:t>
      </w:r>
    </w:p>
    <w:p w14:paraId="07F62281" w14:textId="1670BB35" w:rsidR="00FA30C4" w:rsidRPr="00E951F4" w:rsidRDefault="008D0755" w:rsidP="00E951F4">
      <w:pPr>
        <w:keepNext/>
        <w:widowControl/>
        <w:kinsoku w:val="0"/>
        <w:overflowPunct w:val="0"/>
        <w:spacing w:line="360" w:lineRule="auto"/>
        <w:ind w:firstLine="1440"/>
        <w:textAlignment w:val="baseline"/>
        <w:rPr>
          <w:sz w:val="26"/>
          <w:szCs w:val="26"/>
        </w:rPr>
      </w:pPr>
      <w:r w:rsidRPr="00E951F4">
        <w:rPr>
          <w:sz w:val="26"/>
          <w:szCs w:val="26"/>
        </w:rPr>
        <w:t xml:space="preserve"> </w:t>
      </w:r>
    </w:p>
    <w:p w14:paraId="2EA467DE" w14:textId="175A29E7" w:rsidR="00EF721B" w:rsidRPr="00E951F4" w:rsidRDefault="006433A6" w:rsidP="00E951F4">
      <w:pPr>
        <w:keepNext/>
        <w:widowControl/>
        <w:kinsoku w:val="0"/>
        <w:overflowPunct w:val="0"/>
        <w:spacing w:line="360" w:lineRule="auto"/>
        <w:ind w:firstLine="1440"/>
        <w:textAlignment w:val="baseline"/>
        <w:rPr>
          <w:sz w:val="26"/>
          <w:szCs w:val="26"/>
        </w:rPr>
      </w:pPr>
      <w:r w:rsidRPr="00E951F4">
        <w:rPr>
          <w:sz w:val="26"/>
          <w:szCs w:val="26"/>
        </w:rPr>
        <w:t xml:space="preserve">In its Replies to </w:t>
      </w:r>
      <w:r w:rsidR="00BA2538" w:rsidRPr="00E951F4">
        <w:rPr>
          <w:sz w:val="26"/>
          <w:szCs w:val="26"/>
        </w:rPr>
        <w:t xml:space="preserve">the EGS Parties’ </w:t>
      </w:r>
      <w:r w:rsidRPr="00E951F4">
        <w:rPr>
          <w:sz w:val="26"/>
          <w:szCs w:val="26"/>
        </w:rPr>
        <w:t>Exception</w:t>
      </w:r>
      <w:r w:rsidR="00BA2538" w:rsidRPr="00E951F4">
        <w:rPr>
          <w:sz w:val="26"/>
          <w:szCs w:val="26"/>
        </w:rPr>
        <w:t xml:space="preserve"> No. 4</w:t>
      </w:r>
      <w:r w:rsidRPr="00E951F4">
        <w:rPr>
          <w:sz w:val="26"/>
          <w:szCs w:val="26"/>
        </w:rPr>
        <w:t xml:space="preserve">, CAUSE-PA states that </w:t>
      </w:r>
      <w:r w:rsidR="002B6D49" w:rsidRPr="00E951F4">
        <w:rPr>
          <w:sz w:val="26"/>
          <w:szCs w:val="26"/>
        </w:rPr>
        <w:t>the decision to maintain the status quo in Duquesne</w:t>
      </w:r>
      <w:r w:rsidR="00D30E2D" w:rsidRPr="00E951F4">
        <w:rPr>
          <w:sz w:val="26"/>
          <w:szCs w:val="26"/>
        </w:rPr>
        <w:t xml:space="preserve"> Light</w:t>
      </w:r>
      <w:r w:rsidR="002B6D49" w:rsidRPr="00E951F4">
        <w:rPr>
          <w:sz w:val="26"/>
          <w:szCs w:val="26"/>
        </w:rPr>
        <w:t xml:space="preserve">’s service territory is </w:t>
      </w:r>
      <w:r w:rsidR="00D30E2D" w:rsidRPr="00E951F4">
        <w:rPr>
          <w:sz w:val="26"/>
          <w:szCs w:val="26"/>
        </w:rPr>
        <w:t>wholly consistent</w:t>
      </w:r>
      <w:r w:rsidR="002B6D49" w:rsidRPr="00E951F4">
        <w:rPr>
          <w:sz w:val="26"/>
          <w:szCs w:val="26"/>
        </w:rPr>
        <w:t xml:space="preserve"> with the Commission’s statutory obligation to ensure that CAP is cost-effective and available to all those in need.</w:t>
      </w:r>
      <w:r w:rsidR="00D30E2D" w:rsidRPr="00E951F4">
        <w:rPr>
          <w:sz w:val="26"/>
          <w:szCs w:val="26"/>
        </w:rPr>
        <w:t xml:space="preserve">  CAUSE-PA also states that </w:t>
      </w:r>
      <w:r w:rsidR="00A71691" w:rsidRPr="00E951F4">
        <w:rPr>
          <w:sz w:val="26"/>
          <w:szCs w:val="26"/>
        </w:rPr>
        <w:t xml:space="preserve">deferring CAP shopping in Duquesne Light’s territory </w:t>
      </w:r>
      <w:r w:rsidR="002B6D49" w:rsidRPr="00E951F4">
        <w:rPr>
          <w:sz w:val="26"/>
          <w:szCs w:val="26"/>
        </w:rPr>
        <w:t xml:space="preserve">is the only option on the record </w:t>
      </w:r>
      <w:r w:rsidR="00486942" w:rsidRPr="00E951F4">
        <w:rPr>
          <w:sz w:val="26"/>
          <w:szCs w:val="26"/>
        </w:rPr>
        <w:t xml:space="preserve">that is </w:t>
      </w:r>
      <w:r w:rsidR="002B6D49" w:rsidRPr="00E951F4">
        <w:rPr>
          <w:sz w:val="26"/>
          <w:szCs w:val="26"/>
        </w:rPr>
        <w:t>supported by substantial and unrebutted record evidence that CAP shopping</w:t>
      </w:r>
      <w:r w:rsidR="00486942" w:rsidRPr="00E951F4">
        <w:rPr>
          <w:sz w:val="26"/>
          <w:szCs w:val="26"/>
        </w:rPr>
        <w:t>,</w:t>
      </w:r>
      <w:r w:rsidR="002B6D49" w:rsidRPr="00E951F4">
        <w:rPr>
          <w:sz w:val="26"/>
          <w:szCs w:val="26"/>
        </w:rPr>
        <w:t xml:space="preserve"> even with carefully crafted restrictions</w:t>
      </w:r>
      <w:r w:rsidR="00486942" w:rsidRPr="00E951F4">
        <w:rPr>
          <w:sz w:val="26"/>
          <w:szCs w:val="26"/>
        </w:rPr>
        <w:t>,</w:t>
      </w:r>
      <w:r w:rsidR="002B6D49" w:rsidRPr="00E951F4">
        <w:rPr>
          <w:sz w:val="26"/>
          <w:szCs w:val="26"/>
        </w:rPr>
        <w:t xml:space="preserve"> will result in substantial financial harm to </w:t>
      </w:r>
      <w:r w:rsidR="008D6DFE" w:rsidRPr="00E951F4">
        <w:rPr>
          <w:sz w:val="26"/>
          <w:szCs w:val="26"/>
        </w:rPr>
        <w:t>low-income</w:t>
      </w:r>
      <w:r w:rsidR="002B6D49" w:rsidRPr="00E951F4">
        <w:rPr>
          <w:sz w:val="26"/>
          <w:szCs w:val="26"/>
        </w:rPr>
        <w:t xml:space="preserve"> customers and other residential ratepayers.</w:t>
      </w:r>
      <w:r w:rsidR="00482D9B" w:rsidRPr="00E951F4">
        <w:rPr>
          <w:sz w:val="26"/>
          <w:szCs w:val="26"/>
        </w:rPr>
        <w:t xml:space="preserve">  </w:t>
      </w:r>
      <w:r w:rsidR="00C176F4" w:rsidRPr="00E951F4">
        <w:rPr>
          <w:sz w:val="26"/>
          <w:szCs w:val="26"/>
        </w:rPr>
        <w:t>CAUSE-PA R. Exc. at 2.  CAUSE-PA argues that the record here demonstrates</w:t>
      </w:r>
      <w:r w:rsidR="002B6D49" w:rsidRPr="00E951F4">
        <w:rPr>
          <w:sz w:val="26"/>
          <w:szCs w:val="26"/>
        </w:rPr>
        <w:t xml:space="preserve"> a clear and consistent pattern of excessive supplier pricing for residential and confirmed </w:t>
      </w:r>
      <w:r w:rsidR="008D6DFE" w:rsidRPr="00E951F4">
        <w:rPr>
          <w:sz w:val="26"/>
          <w:szCs w:val="26"/>
        </w:rPr>
        <w:t>low-income</w:t>
      </w:r>
      <w:r w:rsidR="002B6D49" w:rsidRPr="00E951F4">
        <w:rPr>
          <w:sz w:val="26"/>
          <w:szCs w:val="26"/>
        </w:rPr>
        <w:t xml:space="preserve"> customers.</w:t>
      </w:r>
      <w:r w:rsidR="00C176F4" w:rsidRPr="00E951F4">
        <w:rPr>
          <w:sz w:val="26"/>
          <w:szCs w:val="26"/>
        </w:rPr>
        <w:t xml:space="preserve">  </w:t>
      </w:r>
      <w:r w:rsidR="00C176F4" w:rsidRPr="00E951F4">
        <w:rPr>
          <w:i/>
          <w:iCs/>
          <w:sz w:val="26"/>
          <w:szCs w:val="26"/>
        </w:rPr>
        <w:t>Id</w:t>
      </w:r>
      <w:r w:rsidR="00C176F4" w:rsidRPr="00E951F4">
        <w:rPr>
          <w:sz w:val="26"/>
          <w:szCs w:val="26"/>
        </w:rPr>
        <w:t xml:space="preserve">. (citing </w:t>
      </w:r>
      <w:r w:rsidR="00AE6EB8" w:rsidRPr="00E951F4">
        <w:rPr>
          <w:sz w:val="26"/>
          <w:szCs w:val="26"/>
        </w:rPr>
        <w:t xml:space="preserve">CAUSE-PA St. 1 at 7-20; CAUSE-PA </w:t>
      </w:r>
      <w:r w:rsidR="00DA0A5A" w:rsidRPr="00E951F4">
        <w:rPr>
          <w:sz w:val="26"/>
          <w:szCs w:val="26"/>
        </w:rPr>
        <w:t xml:space="preserve">Exhs. 1, 2).  CAUSE-PA submits that based on the record, </w:t>
      </w:r>
      <w:r w:rsidR="002B6D49" w:rsidRPr="00E951F4">
        <w:rPr>
          <w:sz w:val="26"/>
          <w:szCs w:val="26"/>
        </w:rPr>
        <w:t>it is likely that CAP customer</w:t>
      </w:r>
      <w:r w:rsidR="00DA0A5A" w:rsidRPr="00E951F4">
        <w:rPr>
          <w:sz w:val="26"/>
          <w:szCs w:val="26"/>
        </w:rPr>
        <w:t>s</w:t>
      </w:r>
      <w:r w:rsidR="002B6D49" w:rsidRPr="00E951F4">
        <w:rPr>
          <w:sz w:val="26"/>
          <w:szCs w:val="26"/>
        </w:rPr>
        <w:t xml:space="preserve"> will routinely exceed the price to compare if permitted to shop </w:t>
      </w:r>
      <w:r w:rsidR="004F6A96" w:rsidRPr="00E951F4">
        <w:rPr>
          <w:sz w:val="26"/>
          <w:szCs w:val="26"/>
        </w:rPr>
        <w:t>f</w:t>
      </w:r>
      <w:r w:rsidR="002B6D49" w:rsidRPr="00E951F4">
        <w:rPr>
          <w:sz w:val="26"/>
          <w:szCs w:val="26"/>
        </w:rPr>
        <w:t>o</w:t>
      </w:r>
      <w:r w:rsidR="004F6A96" w:rsidRPr="00E951F4">
        <w:rPr>
          <w:sz w:val="26"/>
          <w:szCs w:val="26"/>
        </w:rPr>
        <w:t>r</w:t>
      </w:r>
      <w:r w:rsidR="002B6D49" w:rsidRPr="00E951F4">
        <w:rPr>
          <w:sz w:val="26"/>
          <w:szCs w:val="26"/>
        </w:rPr>
        <w:t xml:space="preserve"> </w:t>
      </w:r>
      <w:r w:rsidR="002B6D49" w:rsidRPr="00E951F4">
        <w:rPr>
          <w:sz w:val="26"/>
          <w:szCs w:val="26"/>
        </w:rPr>
        <w:lastRenderedPageBreak/>
        <w:t>electric service in the competitive market.</w:t>
      </w:r>
      <w:r w:rsidR="004F6A96" w:rsidRPr="00E951F4">
        <w:rPr>
          <w:sz w:val="26"/>
          <w:szCs w:val="26"/>
        </w:rPr>
        <w:t xml:space="preserve">  </w:t>
      </w:r>
      <w:r w:rsidR="00492385" w:rsidRPr="00E951F4">
        <w:rPr>
          <w:sz w:val="26"/>
          <w:szCs w:val="26"/>
        </w:rPr>
        <w:t>CAUSE-PA R. Exc.</w:t>
      </w:r>
      <w:r w:rsidR="0048321C" w:rsidRPr="00E951F4">
        <w:rPr>
          <w:sz w:val="26"/>
          <w:szCs w:val="26"/>
        </w:rPr>
        <w:t xml:space="preserve"> at 2 (citing </w:t>
      </w:r>
      <w:r w:rsidR="004F6A96" w:rsidRPr="00E951F4">
        <w:rPr>
          <w:sz w:val="26"/>
          <w:szCs w:val="26"/>
        </w:rPr>
        <w:t>CAUSE-PA St. 1 at 44</w:t>
      </w:r>
      <w:r w:rsidR="0048321C" w:rsidRPr="00E951F4">
        <w:rPr>
          <w:sz w:val="26"/>
          <w:szCs w:val="26"/>
        </w:rPr>
        <w:t xml:space="preserve">).  </w:t>
      </w:r>
    </w:p>
    <w:p w14:paraId="79063FFB" w14:textId="77777777" w:rsidR="000C739D" w:rsidRPr="00E951F4" w:rsidRDefault="000C739D" w:rsidP="00E951F4">
      <w:pPr>
        <w:widowControl/>
        <w:kinsoku w:val="0"/>
        <w:overflowPunct w:val="0"/>
        <w:spacing w:line="360" w:lineRule="auto"/>
        <w:ind w:firstLine="1440"/>
        <w:textAlignment w:val="baseline"/>
        <w:rPr>
          <w:sz w:val="26"/>
          <w:szCs w:val="26"/>
        </w:rPr>
      </w:pPr>
    </w:p>
    <w:p w14:paraId="7C8315EB" w14:textId="4BF3644A" w:rsidR="002B6D49" w:rsidRPr="00E951F4" w:rsidRDefault="00EF721B" w:rsidP="00E951F4">
      <w:pPr>
        <w:widowControl/>
        <w:kinsoku w:val="0"/>
        <w:overflowPunct w:val="0"/>
        <w:spacing w:line="360" w:lineRule="auto"/>
        <w:ind w:firstLine="1440"/>
        <w:textAlignment w:val="baseline"/>
        <w:rPr>
          <w:sz w:val="26"/>
          <w:szCs w:val="26"/>
        </w:rPr>
      </w:pPr>
      <w:r w:rsidRPr="00E951F4">
        <w:rPr>
          <w:sz w:val="26"/>
          <w:szCs w:val="26"/>
        </w:rPr>
        <w:t>CAUSE-PA cites to d</w:t>
      </w:r>
      <w:r w:rsidR="002B6D49" w:rsidRPr="00E951F4">
        <w:rPr>
          <w:sz w:val="26"/>
          <w:szCs w:val="26"/>
        </w:rPr>
        <w:t>ata from PPL Electric</w:t>
      </w:r>
      <w:r w:rsidRPr="00E951F4">
        <w:rPr>
          <w:sz w:val="26"/>
          <w:szCs w:val="26"/>
        </w:rPr>
        <w:t>’s</w:t>
      </w:r>
      <w:r w:rsidR="002B6D49" w:rsidRPr="00E951F4">
        <w:rPr>
          <w:sz w:val="26"/>
          <w:szCs w:val="26"/>
        </w:rPr>
        <w:t xml:space="preserve"> service territory</w:t>
      </w:r>
      <w:r w:rsidR="00D7121C" w:rsidRPr="00E951F4">
        <w:rPr>
          <w:sz w:val="26"/>
          <w:szCs w:val="26"/>
        </w:rPr>
        <w:t xml:space="preserve">, stating that </w:t>
      </w:r>
      <w:r w:rsidR="002B6D49" w:rsidRPr="00E951F4">
        <w:rPr>
          <w:sz w:val="26"/>
          <w:szCs w:val="26"/>
        </w:rPr>
        <w:t>CAP customers and other residential ratepayers continue to pay millions of dollars in avoidable costs as a result of CAP shopping.</w:t>
      </w:r>
      <w:r w:rsidR="00D7121C" w:rsidRPr="00E951F4">
        <w:rPr>
          <w:sz w:val="26"/>
          <w:szCs w:val="26"/>
        </w:rPr>
        <w:t xml:space="preserve">  CAUSE-PA R. Exc. at 2 (citing CAUSE-PA </w:t>
      </w:r>
      <w:r w:rsidR="00343C87" w:rsidRPr="00E951F4">
        <w:rPr>
          <w:sz w:val="26"/>
          <w:szCs w:val="26"/>
        </w:rPr>
        <w:t xml:space="preserve">St. 1 at 46-48).  </w:t>
      </w:r>
      <w:r w:rsidR="00284B57" w:rsidRPr="00E951F4">
        <w:rPr>
          <w:sz w:val="26"/>
          <w:szCs w:val="26"/>
        </w:rPr>
        <w:t>CAUSE-PA states that i</w:t>
      </w:r>
      <w:r w:rsidR="002B6D49" w:rsidRPr="00E951F4">
        <w:rPr>
          <w:sz w:val="26"/>
          <w:szCs w:val="26"/>
        </w:rPr>
        <w:t xml:space="preserve">n 2018 and 2019, </w:t>
      </w:r>
      <w:r w:rsidR="00284B57" w:rsidRPr="00E951F4">
        <w:rPr>
          <w:sz w:val="26"/>
          <w:szCs w:val="26"/>
        </w:rPr>
        <w:t>after</w:t>
      </w:r>
      <w:r w:rsidR="002B6D49" w:rsidRPr="00E951F4">
        <w:rPr>
          <w:sz w:val="26"/>
          <w:szCs w:val="26"/>
        </w:rPr>
        <w:t xml:space="preserve"> implementation of a special CAP shopping program, CAP shopping in PPL</w:t>
      </w:r>
      <w:r w:rsidR="00284B57" w:rsidRPr="00E951F4">
        <w:rPr>
          <w:sz w:val="26"/>
          <w:szCs w:val="26"/>
        </w:rPr>
        <w:t xml:space="preserve"> Electric</w:t>
      </w:r>
      <w:r w:rsidR="002B6D49" w:rsidRPr="00E951F4">
        <w:rPr>
          <w:sz w:val="26"/>
          <w:szCs w:val="26"/>
        </w:rPr>
        <w:t>’s service territory cost other residential ratepayers a net of over $7 million.</w:t>
      </w:r>
      <w:r w:rsidR="00284B57" w:rsidRPr="00E951F4">
        <w:rPr>
          <w:sz w:val="26"/>
          <w:szCs w:val="26"/>
        </w:rPr>
        <w:t xml:space="preserve">  </w:t>
      </w:r>
      <w:r w:rsidR="00284B57" w:rsidRPr="00E951F4">
        <w:rPr>
          <w:i/>
          <w:iCs/>
          <w:sz w:val="26"/>
          <w:szCs w:val="26"/>
        </w:rPr>
        <w:t>Id</w:t>
      </w:r>
      <w:r w:rsidR="00284B57" w:rsidRPr="00E951F4">
        <w:rPr>
          <w:sz w:val="26"/>
          <w:szCs w:val="26"/>
        </w:rPr>
        <w:t>.</w:t>
      </w:r>
      <w:r w:rsidR="002044B9" w:rsidRPr="00E951F4">
        <w:rPr>
          <w:sz w:val="26"/>
          <w:szCs w:val="26"/>
        </w:rPr>
        <w:t xml:space="preserve">  CAUSE-PA also states that </w:t>
      </w:r>
      <w:r w:rsidR="007101B4" w:rsidRPr="00E951F4">
        <w:rPr>
          <w:sz w:val="26"/>
          <w:szCs w:val="26"/>
        </w:rPr>
        <w:t>since Duquesne Light’s</w:t>
      </w:r>
      <w:r w:rsidR="002B6D49" w:rsidRPr="00E951F4">
        <w:rPr>
          <w:sz w:val="26"/>
          <w:szCs w:val="26"/>
        </w:rPr>
        <w:t xml:space="preserve"> original CAP shopping proposal was withdrawn pursuant to the </w:t>
      </w:r>
      <w:r w:rsidR="007101B4" w:rsidRPr="00E951F4">
        <w:rPr>
          <w:sz w:val="26"/>
          <w:szCs w:val="26"/>
        </w:rPr>
        <w:t xml:space="preserve">CAP Shopping </w:t>
      </w:r>
      <w:r w:rsidR="002B6D49" w:rsidRPr="00E951F4">
        <w:rPr>
          <w:sz w:val="26"/>
          <w:szCs w:val="26"/>
        </w:rPr>
        <w:t>Stipulation, the only CAP shopping proposal that remains on the record is that of the EGS</w:t>
      </w:r>
      <w:r w:rsidR="00322B57" w:rsidRPr="00E951F4">
        <w:rPr>
          <w:sz w:val="26"/>
          <w:szCs w:val="26"/>
        </w:rPr>
        <w:t xml:space="preserve"> </w:t>
      </w:r>
      <w:r w:rsidR="002B6D49" w:rsidRPr="00E951F4">
        <w:rPr>
          <w:sz w:val="26"/>
          <w:szCs w:val="26"/>
        </w:rPr>
        <w:t xml:space="preserve">Parties, which would permit CAP customers to shop at any rate after the expiration of an initial </w:t>
      </w:r>
      <w:r w:rsidR="00322B57" w:rsidRPr="00E951F4">
        <w:rPr>
          <w:sz w:val="26"/>
          <w:szCs w:val="26"/>
        </w:rPr>
        <w:t>twelve</w:t>
      </w:r>
      <w:r w:rsidR="002B6D49" w:rsidRPr="00E951F4">
        <w:rPr>
          <w:sz w:val="26"/>
          <w:szCs w:val="26"/>
        </w:rPr>
        <w:t xml:space="preserve">-month contract. </w:t>
      </w:r>
      <w:r w:rsidR="00202624" w:rsidRPr="00E951F4">
        <w:rPr>
          <w:sz w:val="26"/>
          <w:szCs w:val="26"/>
        </w:rPr>
        <w:t xml:space="preserve"> </w:t>
      </w:r>
      <w:r w:rsidR="00732292" w:rsidRPr="00E951F4">
        <w:rPr>
          <w:sz w:val="26"/>
          <w:szCs w:val="26"/>
        </w:rPr>
        <w:t>CAUSE-PA R. Exc. at 2-3.</w:t>
      </w:r>
      <w:r w:rsidR="00202624" w:rsidRPr="00E951F4">
        <w:rPr>
          <w:sz w:val="26"/>
          <w:szCs w:val="26"/>
        </w:rPr>
        <w:t xml:space="preserve"> </w:t>
      </w:r>
      <w:r w:rsidR="00732292" w:rsidRPr="00E951F4">
        <w:rPr>
          <w:sz w:val="26"/>
          <w:szCs w:val="26"/>
        </w:rPr>
        <w:t xml:space="preserve"> </w:t>
      </w:r>
      <w:r w:rsidR="00202624" w:rsidRPr="00E951F4">
        <w:rPr>
          <w:sz w:val="26"/>
          <w:szCs w:val="26"/>
        </w:rPr>
        <w:t xml:space="preserve">According to CAUSE-PA, </w:t>
      </w:r>
      <w:r w:rsidR="002B6D49" w:rsidRPr="00E951F4">
        <w:rPr>
          <w:sz w:val="26"/>
          <w:szCs w:val="26"/>
        </w:rPr>
        <w:t>approval of such a proposal would undermine enforcement</w:t>
      </w:r>
      <w:r w:rsidR="00432E1A" w:rsidRPr="00E951F4">
        <w:rPr>
          <w:sz w:val="26"/>
          <w:szCs w:val="26"/>
        </w:rPr>
        <w:t xml:space="preserve"> and</w:t>
      </w:r>
      <w:r w:rsidR="002B6D49" w:rsidRPr="00E951F4">
        <w:rPr>
          <w:sz w:val="26"/>
          <w:szCs w:val="26"/>
        </w:rPr>
        <w:t xml:space="preserve"> result in immediate and substantial financial harm to CAP customers and other residential ratepayers, and is wholly unsupported by </w:t>
      </w:r>
      <w:r w:rsidR="00D0073F" w:rsidRPr="00E951F4">
        <w:rPr>
          <w:sz w:val="26"/>
          <w:szCs w:val="26"/>
        </w:rPr>
        <w:t xml:space="preserve">the </w:t>
      </w:r>
      <w:r w:rsidR="002B6D49" w:rsidRPr="00E951F4">
        <w:rPr>
          <w:sz w:val="26"/>
          <w:szCs w:val="26"/>
        </w:rPr>
        <w:t>record evidence.</w:t>
      </w:r>
      <w:r w:rsidR="00732292" w:rsidRPr="00E951F4">
        <w:rPr>
          <w:sz w:val="26"/>
          <w:szCs w:val="26"/>
        </w:rPr>
        <w:t xml:space="preserve">  </w:t>
      </w:r>
      <w:r w:rsidR="00732292" w:rsidRPr="00E951F4">
        <w:rPr>
          <w:i/>
          <w:iCs/>
          <w:sz w:val="26"/>
          <w:szCs w:val="26"/>
        </w:rPr>
        <w:t>Id</w:t>
      </w:r>
      <w:r w:rsidR="00732292" w:rsidRPr="00E951F4">
        <w:rPr>
          <w:sz w:val="26"/>
          <w:szCs w:val="26"/>
        </w:rPr>
        <w:t xml:space="preserve">. at 3.  </w:t>
      </w:r>
      <w:r w:rsidR="00D0073F" w:rsidRPr="00E951F4">
        <w:rPr>
          <w:sz w:val="26"/>
          <w:szCs w:val="26"/>
        </w:rPr>
        <w:t xml:space="preserve">  </w:t>
      </w:r>
    </w:p>
    <w:p w14:paraId="6C7ECBAA" w14:textId="77777777" w:rsidR="00D0073F" w:rsidRPr="00E951F4" w:rsidRDefault="00D0073F" w:rsidP="00E951F4">
      <w:pPr>
        <w:widowControl/>
        <w:kinsoku w:val="0"/>
        <w:overflowPunct w:val="0"/>
        <w:spacing w:line="360" w:lineRule="auto"/>
        <w:textAlignment w:val="baseline"/>
        <w:rPr>
          <w:sz w:val="26"/>
          <w:szCs w:val="26"/>
        </w:rPr>
      </w:pPr>
    </w:p>
    <w:p w14:paraId="184A56CB" w14:textId="24D5CEE4" w:rsidR="00714C74" w:rsidRPr="00E951F4" w:rsidRDefault="00D0073F" w:rsidP="00E951F4">
      <w:pPr>
        <w:widowControl/>
        <w:kinsoku w:val="0"/>
        <w:overflowPunct w:val="0"/>
        <w:spacing w:line="360" w:lineRule="auto"/>
        <w:ind w:firstLine="1440"/>
        <w:textAlignment w:val="baseline"/>
        <w:rPr>
          <w:sz w:val="26"/>
          <w:szCs w:val="26"/>
        </w:rPr>
      </w:pPr>
      <w:r w:rsidRPr="00E951F4">
        <w:rPr>
          <w:sz w:val="26"/>
          <w:szCs w:val="26"/>
        </w:rPr>
        <w:t xml:space="preserve">CAUSE-PA avers that </w:t>
      </w:r>
      <w:r w:rsidR="002B6D49" w:rsidRPr="00E951F4">
        <w:rPr>
          <w:sz w:val="26"/>
          <w:szCs w:val="26"/>
        </w:rPr>
        <w:t xml:space="preserve">all of </w:t>
      </w:r>
      <w:r w:rsidR="00972F0F" w:rsidRPr="00E951F4">
        <w:rPr>
          <w:sz w:val="26"/>
          <w:szCs w:val="26"/>
        </w:rPr>
        <w:t>Duquesne Light’s</w:t>
      </w:r>
      <w:r w:rsidR="002B6D49" w:rsidRPr="00E951F4">
        <w:rPr>
          <w:sz w:val="26"/>
          <w:szCs w:val="26"/>
        </w:rPr>
        <w:t xml:space="preserve"> residential customers</w:t>
      </w:r>
      <w:r w:rsidR="00972F0F" w:rsidRPr="00E951F4">
        <w:rPr>
          <w:sz w:val="26"/>
          <w:szCs w:val="26"/>
        </w:rPr>
        <w:t>, including</w:t>
      </w:r>
      <w:r w:rsidR="002B6D49" w:rsidRPr="00E951F4">
        <w:rPr>
          <w:sz w:val="26"/>
          <w:szCs w:val="26"/>
        </w:rPr>
        <w:t xml:space="preserve"> CAP </w:t>
      </w:r>
      <w:r w:rsidR="00972F0F" w:rsidRPr="00E951F4">
        <w:rPr>
          <w:sz w:val="26"/>
          <w:szCs w:val="26"/>
        </w:rPr>
        <w:t xml:space="preserve">customers, </w:t>
      </w:r>
      <w:r w:rsidR="002B6D49" w:rsidRPr="00E951F4">
        <w:rPr>
          <w:sz w:val="26"/>
          <w:szCs w:val="26"/>
        </w:rPr>
        <w:t>will continue to have the right to shop in the competitive market</w:t>
      </w:r>
      <w:r w:rsidR="00FE74DD" w:rsidRPr="00E951F4">
        <w:rPr>
          <w:sz w:val="26"/>
          <w:szCs w:val="26"/>
        </w:rPr>
        <w:t xml:space="preserve"> -</w:t>
      </w:r>
      <w:r w:rsidR="002B6D49" w:rsidRPr="00E951F4">
        <w:rPr>
          <w:sz w:val="26"/>
          <w:szCs w:val="26"/>
        </w:rPr>
        <w:t xml:space="preserve"> CAP </w:t>
      </w:r>
      <w:r w:rsidR="00FE74DD" w:rsidRPr="00E951F4">
        <w:rPr>
          <w:sz w:val="26"/>
          <w:szCs w:val="26"/>
        </w:rPr>
        <w:t xml:space="preserve">customers </w:t>
      </w:r>
      <w:r w:rsidR="002B6D49" w:rsidRPr="00E951F4">
        <w:rPr>
          <w:sz w:val="26"/>
          <w:szCs w:val="26"/>
        </w:rPr>
        <w:t xml:space="preserve">merely have to remove themselves from </w:t>
      </w:r>
      <w:r w:rsidR="00FE74DD" w:rsidRPr="00E951F4">
        <w:rPr>
          <w:sz w:val="26"/>
          <w:szCs w:val="26"/>
        </w:rPr>
        <w:t>the</w:t>
      </w:r>
      <w:r w:rsidR="002B6D49" w:rsidRPr="00E951F4">
        <w:rPr>
          <w:sz w:val="26"/>
          <w:szCs w:val="26"/>
        </w:rPr>
        <w:t xml:space="preserve"> program in order to exercise that right. </w:t>
      </w:r>
      <w:r w:rsidR="00FE74DD" w:rsidRPr="00E951F4">
        <w:rPr>
          <w:sz w:val="26"/>
          <w:szCs w:val="26"/>
        </w:rPr>
        <w:t xml:space="preserve"> </w:t>
      </w:r>
      <w:r w:rsidR="00732292" w:rsidRPr="00E951F4">
        <w:rPr>
          <w:i/>
          <w:iCs/>
          <w:sz w:val="26"/>
          <w:szCs w:val="26"/>
        </w:rPr>
        <w:t>Id</w:t>
      </w:r>
      <w:r w:rsidR="00732292" w:rsidRPr="00E951F4">
        <w:rPr>
          <w:sz w:val="26"/>
          <w:szCs w:val="26"/>
        </w:rPr>
        <w:t xml:space="preserve">.  </w:t>
      </w:r>
      <w:r w:rsidR="00FE74DD" w:rsidRPr="00E951F4">
        <w:rPr>
          <w:sz w:val="26"/>
          <w:szCs w:val="26"/>
        </w:rPr>
        <w:t>CAUSE-PA argues that</w:t>
      </w:r>
      <w:r w:rsidR="00176435" w:rsidRPr="00E951F4">
        <w:rPr>
          <w:sz w:val="26"/>
          <w:szCs w:val="26"/>
        </w:rPr>
        <w:t xml:space="preserve"> such a rule does not violate the </w:t>
      </w:r>
      <w:r w:rsidR="00F15A65" w:rsidRPr="00E951F4">
        <w:rPr>
          <w:sz w:val="26"/>
          <w:szCs w:val="26"/>
        </w:rPr>
        <w:t>Competition Act</w:t>
      </w:r>
      <w:r w:rsidR="005623F0" w:rsidRPr="00E951F4">
        <w:rPr>
          <w:sz w:val="26"/>
          <w:szCs w:val="26"/>
        </w:rPr>
        <w:t>,</w:t>
      </w:r>
      <w:r w:rsidR="00176435" w:rsidRPr="00E951F4">
        <w:rPr>
          <w:sz w:val="26"/>
          <w:szCs w:val="26"/>
        </w:rPr>
        <w:t xml:space="preserve"> because </w:t>
      </w:r>
      <w:r w:rsidR="002B6D49" w:rsidRPr="00E951F4">
        <w:rPr>
          <w:sz w:val="26"/>
          <w:szCs w:val="26"/>
        </w:rPr>
        <w:t>the Commonwealth Court concluded</w:t>
      </w:r>
      <w:r w:rsidR="00477D60" w:rsidRPr="00E951F4">
        <w:rPr>
          <w:sz w:val="26"/>
          <w:szCs w:val="26"/>
        </w:rPr>
        <w:t xml:space="preserve"> that the Commission</w:t>
      </w:r>
      <w:r w:rsidR="002B6D49" w:rsidRPr="00E951F4">
        <w:rPr>
          <w:sz w:val="26"/>
          <w:szCs w:val="26"/>
        </w:rPr>
        <w:t xml:space="preserve"> </w:t>
      </w:r>
      <w:r w:rsidR="00477D60" w:rsidRPr="00E951F4">
        <w:rPr>
          <w:sz w:val="26"/>
          <w:szCs w:val="26"/>
        </w:rPr>
        <w:t>“</w:t>
      </w:r>
      <w:r w:rsidR="002B6D49" w:rsidRPr="00E951F4">
        <w:rPr>
          <w:sz w:val="26"/>
          <w:szCs w:val="26"/>
        </w:rPr>
        <w:t xml:space="preserve">may impose CAP rules that would limit the terms of any offer from an EGS that a customer could accept and remain eligible for CAP benefits.” </w:t>
      </w:r>
      <w:r w:rsidR="00732292" w:rsidRPr="00E951F4">
        <w:rPr>
          <w:sz w:val="26"/>
          <w:szCs w:val="26"/>
        </w:rPr>
        <w:t xml:space="preserve"> </w:t>
      </w:r>
      <w:r w:rsidR="00732292" w:rsidRPr="00E951F4">
        <w:rPr>
          <w:i/>
          <w:iCs/>
          <w:sz w:val="26"/>
          <w:szCs w:val="26"/>
        </w:rPr>
        <w:t>Id</w:t>
      </w:r>
      <w:r w:rsidR="00732292" w:rsidRPr="00E951F4">
        <w:rPr>
          <w:sz w:val="26"/>
          <w:szCs w:val="26"/>
        </w:rPr>
        <w:t xml:space="preserve">. (citing </w:t>
      </w:r>
      <w:r w:rsidR="00204071" w:rsidRPr="00E951F4">
        <w:rPr>
          <w:i/>
          <w:iCs/>
          <w:sz w:val="26"/>
          <w:szCs w:val="26"/>
        </w:rPr>
        <w:t>CAUSE-PA</w:t>
      </w:r>
      <w:r w:rsidR="004265EB" w:rsidRPr="00E951F4">
        <w:rPr>
          <w:sz w:val="26"/>
          <w:szCs w:val="26"/>
        </w:rPr>
        <w:t>, 130 A.2d 1087 at 1104</w:t>
      </w:r>
      <w:r w:rsidR="00204071" w:rsidRPr="00E951F4">
        <w:rPr>
          <w:sz w:val="26"/>
          <w:szCs w:val="26"/>
        </w:rPr>
        <w:t xml:space="preserve">).  </w:t>
      </w:r>
      <w:r w:rsidR="008D21E0" w:rsidRPr="00E951F4">
        <w:rPr>
          <w:sz w:val="26"/>
          <w:szCs w:val="26"/>
        </w:rPr>
        <w:t xml:space="preserve">CAUSE-PA concludes that </w:t>
      </w:r>
      <w:r w:rsidR="002B6D49" w:rsidRPr="00E951F4">
        <w:rPr>
          <w:sz w:val="26"/>
          <w:szCs w:val="26"/>
        </w:rPr>
        <w:t xml:space="preserve">ALJ Hoyer’s resolution of this complex issue which has statewide implications is prudent and avoids potentially duplicative litigation costs for the </w:t>
      </w:r>
      <w:r w:rsidR="00B0395B" w:rsidRPr="00E951F4">
        <w:rPr>
          <w:sz w:val="26"/>
          <w:szCs w:val="26"/>
        </w:rPr>
        <w:t>P</w:t>
      </w:r>
      <w:r w:rsidR="002B6D49" w:rsidRPr="00E951F4">
        <w:rPr>
          <w:sz w:val="26"/>
          <w:szCs w:val="26"/>
        </w:rPr>
        <w:t>arties, the Commission, and other ratepayers.</w:t>
      </w:r>
      <w:r w:rsidR="008B0BAE" w:rsidRPr="00E951F4">
        <w:rPr>
          <w:sz w:val="26"/>
          <w:szCs w:val="26"/>
        </w:rPr>
        <w:t xml:space="preserve">  </w:t>
      </w:r>
    </w:p>
    <w:p w14:paraId="7F85763F" w14:textId="348D8DB9" w:rsidR="00714C74" w:rsidRPr="00E951F4" w:rsidRDefault="00714C74" w:rsidP="00E951F4">
      <w:pPr>
        <w:widowControl/>
        <w:kinsoku w:val="0"/>
        <w:overflowPunct w:val="0"/>
        <w:spacing w:line="360" w:lineRule="auto"/>
        <w:ind w:firstLine="1440"/>
        <w:textAlignment w:val="baseline"/>
        <w:rPr>
          <w:sz w:val="26"/>
          <w:szCs w:val="26"/>
        </w:rPr>
      </w:pPr>
    </w:p>
    <w:p w14:paraId="3582C7A0" w14:textId="48E82846" w:rsidR="00984148" w:rsidRPr="00E951F4" w:rsidRDefault="00984148" w:rsidP="00E951F4">
      <w:pPr>
        <w:pStyle w:val="Heading3"/>
      </w:pPr>
      <w:bookmarkStart w:id="116" w:name="_Toc59620161"/>
      <w:bookmarkStart w:id="117" w:name="_Toc60912055"/>
      <w:r w:rsidRPr="00E951F4">
        <w:lastRenderedPageBreak/>
        <w:t>Disposition</w:t>
      </w:r>
      <w:bookmarkEnd w:id="116"/>
      <w:bookmarkEnd w:id="117"/>
    </w:p>
    <w:p w14:paraId="78E536BE" w14:textId="77777777" w:rsidR="00984148" w:rsidRPr="00E951F4" w:rsidRDefault="00984148" w:rsidP="00E951F4">
      <w:pPr>
        <w:keepNext/>
        <w:widowControl/>
        <w:kinsoku w:val="0"/>
        <w:overflowPunct w:val="0"/>
        <w:spacing w:line="360" w:lineRule="auto"/>
        <w:ind w:firstLine="1440"/>
        <w:textAlignment w:val="baseline"/>
        <w:rPr>
          <w:sz w:val="26"/>
          <w:szCs w:val="26"/>
        </w:rPr>
      </w:pPr>
    </w:p>
    <w:p w14:paraId="709BEED4" w14:textId="59556D80" w:rsidR="008F14C1" w:rsidRPr="00E951F4" w:rsidRDefault="00FD50E7" w:rsidP="00E951F4">
      <w:pPr>
        <w:keepNext/>
        <w:widowControl/>
        <w:kinsoku w:val="0"/>
        <w:overflowPunct w:val="0"/>
        <w:spacing w:line="360" w:lineRule="auto"/>
        <w:ind w:firstLine="1440"/>
        <w:textAlignment w:val="baseline"/>
        <w:rPr>
          <w:sz w:val="26"/>
          <w:szCs w:val="26"/>
        </w:rPr>
      </w:pPr>
      <w:r w:rsidRPr="00E951F4">
        <w:rPr>
          <w:sz w:val="26"/>
          <w:szCs w:val="26"/>
        </w:rPr>
        <w:t xml:space="preserve">Based on the </w:t>
      </w:r>
      <w:r w:rsidR="002123C7" w:rsidRPr="00E951F4">
        <w:rPr>
          <w:sz w:val="26"/>
          <w:szCs w:val="26"/>
        </w:rPr>
        <w:t>record in this case</w:t>
      </w:r>
      <w:r w:rsidR="00C3385F" w:rsidRPr="00E951F4">
        <w:rPr>
          <w:sz w:val="26"/>
          <w:szCs w:val="26"/>
        </w:rPr>
        <w:t xml:space="preserve">, </w:t>
      </w:r>
      <w:r w:rsidR="004E5FFD" w:rsidRPr="00E951F4">
        <w:rPr>
          <w:sz w:val="26"/>
          <w:szCs w:val="26"/>
        </w:rPr>
        <w:t>we agree with the ALJ and the Stipulating Parties that permitting Duquesne Light to defer implementation of CAP shopping until the Commission provided more guidance was reasonable</w:t>
      </w:r>
      <w:r w:rsidR="009F027C" w:rsidRPr="00E951F4">
        <w:rPr>
          <w:sz w:val="26"/>
          <w:szCs w:val="26"/>
        </w:rPr>
        <w:t xml:space="preserve">.  </w:t>
      </w:r>
      <w:r w:rsidR="00E00B83" w:rsidRPr="00E951F4">
        <w:rPr>
          <w:sz w:val="26"/>
          <w:szCs w:val="26"/>
        </w:rPr>
        <w:t xml:space="preserve">This is particularly true given the </w:t>
      </w:r>
      <w:r w:rsidR="00893B1C" w:rsidRPr="00E951F4">
        <w:rPr>
          <w:sz w:val="26"/>
          <w:szCs w:val="26"/>
        </w:rPr>
        <w:t xml:space="preserve">documented </w:t>
      </w:r>
      <w:r w:rsidR="00405F00" w:rsidRPr="00E951F4">
        <w:rPr>
          <w:sz w:val="26"/>
          <w:szCs w:val="26"/>
        </w:rPr>
        <w:t xml:space="preserve">problems </w:t>
      </w:r>
      <w:r w:rsidR="00D02CC2" w:rsidRPr="00E951F4">
        <w:rPr>
          <w:sz w:val="26"/>
          <w:szCs w:val="26"/>
        </w:rPr>
        <w:t xml:space="preserve">PPL Electric experienced in implementing its CAP </w:t>
      </w:r>
      <w:r w:rsidR="00B669FE" w:rsidRPr="00E951F4">
        <w:rPr>
          <w:sz w:val="26"/>
          <w:szCs w:val="26"/>
        </w:rPr>
        <w:t xml:space="preserve">shopping program, the financial implications </w:t>
      </w:r>
      <w:r w:rsidR="007145E1" w:rsidRPr="00E951F4">
        <w:rPr>
          <w:sz w:val="26"/>
          <w:szCs w:val="26"/>
        </w:rPr>
        <w:t>for both CAP customers and non-CAP customers</w:t>
      </w:r>
      <w:r w:rsidR="00116940" w:rsidRPr="00E951F4">
        <w:rPr>
          <w:sz w:val="26"/>
          <w:szCs w:val="26"/>
        </w:rPr>
        <w:t xml:space="preserve"> associated with CAP shopping</w:t>
      </w:r>
      <w:r w:rsidR="007145E1" w:rsidRPr="00E951F4">
        <w:rPr>
          <w:sz w:val="26"/>
          <w:szCs w:val="26"/>
        </w:rPr>
        <w:t xml:space="preserve">, and </w:t>
      </w:r>
      <w:r w:rsidR="00215461" w:rsidRPr="00E951F4">
        <w:rPr>
          <w:sz w:val="26"/>
          <w:szCs w:val="26"/>
        </w:rPr>
        <w:t xml:space="preserve">the contested nature of </w:t>
      </w:r>
      <w:r w:rsidR="00B3623C" w:rsidRPr="00E951F4">
        <w:rPr>
          <w:sz w:val="26"/>
          <w:szCs w:val="26"/>
        </w:rPr>
        <w:t>CAP shopping in proceedings before the Commission.</w:t>
      </w:r>
      <w:r w:rsidR="004E5FFD" w:rsidRPr="00E951F4">
        <w:rPr>
          <w:sz w:val="26"/>
          <w:szCs w:val="26"/>
        </w:rPr>
        <w:t xml:space="preserve"> </w:t>
      </w:r>
      <w:r w:rsidR="00B3623C" w:rsidRPr="00E951F4">
        <w:rPr>
          <w:sz w:val="26"/>
          <w:szCs w:val="26"/>
        </w:rPr>
        <w:t xml:space="preserve"> </w:t>
      </w:r>
      <w:r w:rsidR="00727942" w:rsidRPr="00E951F4">
        <w:rPr>
          <w:sz w:val="26"/>
          <w:szCs w:val="26"/>
        </w:rPr>
        <w:t>Under the circumstances, w</w:t>
      </w:r>
      <w:r w:rsidR="00C3385F" w:rsidRPr="00E951F4">
        <w:rPr>
          <w:sz w:val="26"/>
          <w:szCs w:val="26"/>
        </w:rPr>
        <w:t>e will approve the CAP</w:t>
      </w:r>
      <w:r w:rsidR="00EF2C5E" w:rsidRPr="00E951F4">
        <w:rPr>
          <w:sz w:val="26"/>
          <w:szCs w:val="26"/>
        </w:rPr>
        <w:t xml:space="preserve"> Shopping Stipulation </w:t>
      </w:r>
      <w:r w:rsidR="00CE5639" w:rsidRPr="00E951F4">
        <w:rPr>
          <w:sz w:val="26"/>
          <w:szCs w:val="26"/>
        </w:rPr>
        <w:t xml:space="preserve">and the </w:t>
      </w:r>
      <w:r w:rsidR="00E96091" w:rsidRPr="00E951F4">
        <w:rPr>
          <w:sz w:val="26"/>
          <w:szCs w:val="26"/>
        </w:rPr>
        <w:t xml:space="preserve">withdrawal of the Company’s proposed </w:t>
      </w:r>
      <w:r w:rsidR="007F6B5F" w:rsidRPr="00E951F4">
        <w:rPr>
          <w:sz w:val="26"/>
          <w:szCs w:val="26"/>
        </w:rPr>
        <w:t>CAP Shopping pro</w:t>
      </w:r>
      <w:r w:rsidR="006F10B5" w:rsidRPr="00E951F4">
        <w:rPr>
          <w:sz w:val="26"/>
          <w:szCs w:val="26"/>
        </w:rPr>
        <w:t>gram</w:t>
      </w:r>
      <w:r w:rsidR="007F6B5F" w:rsidRPr="00E951F4">
        <w:rPr>
          <w:sz w:val="26"/>
          <w:szCs w:val="26"/>
        </w:rPr>
        <w:t xml:space="preserve">, </w:t>
      </w:r>
      <w:r w:rsidR="00EF2C5E" w:rsidRPr="00E951F4">
        <w:rPr>
          <w:sz w:val="26"/>
          <w:szCs w:val="26"/>
        </w:rPr>
        <w:t>with one modification</w:t>
      </w:r>
      <w:r w:rsidR="00C75D65" w:rsidRPr="00E951F4">
        <w:rPr>
          <w:sz w:val="26"/>
          <w:szCs w:val="26"/>
        </w:rPr>
        <w:t>, as discussed below</w:t>
      </w:r>
      <w:r w:rsidR="00EF2C5E" w:rsidRPr="00E951F4">
        <w:rPr>
          <w:sz w:val="26"/>
          <w:szCs w:val="26"/>
        </w:rPr>
        <w:t>.</w:t>
      </w:r>
      <w:r w:rsidR="00ED09A3" w:rsidRPr="00E951F4">
        <w:rPr>
          <w:sz w:val="26"/>
          <w:szCs w:val="26"/>
        </w:rPr>
        <w:t xml:space="preserve">  </w:t>
      </w:r>
      <w:r w:rsidR="00E41113" w:rsidRPr="00E951F4">
        <w:rPr>
          <w:sz w:val="26"/>
          <w:szCs w:val="26"/>
        </w:rPr>
        <w:t>T</w:t>
      </w:r>
      <w:r w:rsidR="00ED09A3" w:rsidRPr="00E951F4">
        <w:rPr>
          <w:sz w:val="26"/>
          <w:szCs w:val="26"/>
        </w:rPr>
        <w:t xml:space="preserve">he </w:t>
      </w:r>
      <w:r w:rsidR="00D46A7E" w:rsidRPr="00E951F4">
        <w:rPr>
          <w:sz w:val="26"/>
          <w:szCs w:val="26"/>
        </w:rPr>
        <w:t xml:space="preserve">CAP Shopping </w:t>
      </w:r>
      <w:r w:rsidR="00E41113" w:rsidRPr="00E951F4">
        <w:rPr>
          <w:sz w:val="26"/>
          <w:szCs w:val="26"/>
        </w:rPr>
        <w:t>Stipulati</w:t>
      </w:r>
      <w:r w:rsidR="00D46A7E" w:rsidRPr="00E951F4">
        <w:rPr>
          <w:sz w:val="26"/>
          <w:szCs w:val="26"/>
        </w:rPr>
        <w:t>on stated</w:t>
      </w:r>
      <w:r w:rsidR="00E41113" w:rsidRPr="00E951F4">
        <w:rPr>
          <w:sz w:val="26"/>
          <w:szCs w:val="26"/>
        </w:rPr>
        <w:t xml:space="preserve"> </w:t>
      </w:r>
      <w:r w:rsidR="00093D82" w:rsidRPr="00E951F4">
        <w:rPr>
          <w:sz w:val="26"/>
          <w:szCs w:val="26"/>
        </w:rPr>
        <w:t>as follows:</w:t>
      </w:r>
      <w:bookmarkStart w:id="118" w:name="_Hlk59121379"/>
    </w:p>
    <w:p w14:paraId="3B16A0F4" w14:textId="77777777" w:rsidR="008F14C1" w:rsidRPr="00E951F4" w:rsidRDefault="008F14C1" w:rsidP="00A812F8">
      <w:pPr>
        <w:widowControl/>
        <w:kinsoku w:val="0"/>
        <w:overflowPunct w:val="0"/>
        <w:ind w:firstLine="1440"/>
        <w:textAlignment w:val="baseline"/>
        <w:rPr>
          <w:sz w:val="26"/>
          <w:szCs w:val="26"/>
        </w:rPr>
      </w:pPr>
    </w:p>
    <w:p w14:paraId="42973703" w14:textId="79DE9070" w:rsidR="008F14C1" w:rsidRPr="00E951F4" w:rsidRDefault="009020DB" w:rsidP="00E951F4">
      <w:pPr>
        <w:keepNext/>
        <w:widowControl/>
        <w:kinsoku w:val="0"/>
        <w:overflowPunct w:val="0"/>
        <w:ind w:left="1440" w:right="1440"/>
        <w:textAlignment w:val="baseline"/>
        <w:rPr>
          <w:sz w:val="26"/>
          <w:szCs w:val="26"/>
        </w:rPr>
      </w:pPr>
      <w:r w:rsidRPr="00E951F4">
        <w:rPr>
          <w:sz w:val="26"/>
          <w:szCs w:val="26"/>
        </w:rPr>
        <w:t xml:space="preserve">… within </w:t>
      </w:r>
      <w:r w:rsidR="00271541" w:rsidRPr="00E951F4">
        <w:rPr>
          <w:sz w:val="26"/>
          <w:szCs w:val="26"/>
        </w:rPr>
        <w:t xml:space="preserve">6 months of a final, unappealable order implementing CAP Shopping </w:t>
      </w:r>
      <w:r w:rsidR="00D574E0" w:rsidRPr="00E951F4">
        <w:rPr>
          <w:sz w:val="26"/>
          <w:szCs w:val="26"/>
        </w:rPr>
        <w:t xml:space="preserve">in PPL Electric </w:t>
      </w:r>
      <w:r w:rsidR="00774CA3" w:rsidRPr="00E951F4">
        <w:rPr>
          <w:sz w:val="26"/>
          <w:szCs w:val="26"/>
        </w:rPr>
        <w:t>service territory, Duquesne Light will make a filing with the Commission regarding CAP shopping that is consistent with Duquesne Light’s CAP design</w:t>
      </w:r>
      <w:r w:rsidR="0007647C" w:rsidRPr="00E951F4">
        <w:rPr>
          <w:sz w:val="26"/>
          <w:szCs w:val="26"/>
        </w:rPr>
        <w:t xml:space="preserve">, and which is informed by all available information and data.  </w:t>
      </w:r>
      <w:bookmarkEnd w:id="118"/>
    </w:p>
    <w:p w14:paraId="5DDEA46A" w14:textId="77777777" w:rsidR="008F14C1" w:rsidRPr="00E951F4" w:rsidRDefault="008F14C1" w:rsidP="00E951F4">
      <w:pPr>
        <w:keepNext/>
        <w:widowControl/>
        <w:kinsoku w:val="0"/>
        <w:overflowPunct w:val="0"/>
        <w:spacing w:line="360" w:lineRule="auto"/>
        <w:ind w:firstLine="1440"/>
        <w:textAlignment w:val="baseline"/>
        <w:rPr>
          <w:sz w:val="26"/>
          <w:szCs w:val="26"/>
        </w:rPr>
      </w:pPr>
    </w:p>
    <w:p w14:paraId="6E62BBD5" w14:textId="77777777" w:rsidR="008F14C1" w:rsidRPr="00E951F4" w:rsidRDefault="003C2BB0" w:rsidP="00E951F4">
      <w:pPr>
        <w:keepNext/>
        <w:widowControl/>
        <w:kinsoku w:val="0"/>
        <w:overflowPunct w:val="0"/>
        <w:spacing w:line="360" w:lineRule="auto"/>
        <w:textAlignment w:val="baseline"/>
        <w:rPr>
          <w:sz w:val="26"/>
          <w:szCs w:val="26"/>
        </w:rPr>
      </w:pPr>
      <w:r w:rsidRPr="00E951F4">
        <w:rPr>
          <w:caps/>
          <w:sz w:val="26"/>
          <w:szCs w:val="26"/>
        </w:rPr>
        <w:t xml:space="preserve">CAP </w:t>
      </w:r>
      <w:r w:rsidRPr="00E951F4">
        <w:rPr>
          <w:sz w:val="26"/>
          <w:szCs w:val="26"/>
        </w:rPr>
        <w:t>Shopping Stipulation at 2.</w:t>
      </w:r>
      <w:r w:rsidR="007E6905" w:rsidRPr="00E951F4">
        <w:rPr>
          <w:sz w:val="26"/>
          <w:szCs w:val="26"/>
        </w:rPr>
        <w:t xml:space="preserve"> </w:t>
      </w:r>
    </w:p>
    <w:p w14:paraId="3666A06E" w14:textId="77777777" w:rsidR="008F14C1" w:rsidRPr="00E951F4" w:rsidRDefault="008F14C1" w:rsidP="00E951F4">
      <w:pPr>
        <w:widowControl/>
        <w:kinsoku w:val="0"/>
        <w:overflowPunct w:val="0"/>
        <w:spacing w:line="360" w:lineRule="auto"/>
        <w:textAlignment w:val="baseline"/>
        <w:rPr>
          <w:sz w:val="26"/>
          <w:szCs w:val="26"/>
        </w:rPr>
      </w:pPr>
    </w:p>
    <w:p w14:paraId="74A1AA17" w14:textId="36CC19FF" w:rsidR="005822AD" w:rsidRPr="00E951F4" w:rsidRDefault="00C1300F" w:rsidP="00E951F4">
      <w:pPr>
        <w:widowControl/>
        <w:kinsoku w:val="0"/>
        <w:overflowPunct w:val="0"/>
        <w:spacing w:line="360" w:lineRule="auto"/>
        <w:textAlignment w:val="baseline"/>
        <w:rPr>
          <w:sz w:val="26"/>
          <w:szCs w:val="26"/>
        </w:rPr>
      </w:pPr>
      <w:r w:rsidRPr="00E951F4">
        <w:rPr>
          <w:sz w:val="26"/>
          <w:szCs w:val="26"/>
        </w:rPr>
        <w:t xml:space="preserve"> </w:t>
      </w:r>
      <w:r w:rsidR="008F14C1" w:rsidRPr="00E951F4">
        <w:rPr>
          <w:sz w:val="26"/>
          <w:szCs w:val="26"/>
        </w:rPr>
        <w:tab/>
      </w:r>
      <w:r w:rsidR="008F14C1" w:rsidRPr="00E951F4">
        <w:rPr>
          <w:sz w:val="26"/>
          <w:szCs w:val="26"/>
        </w:rPr>
        <w:tab/>
      </w:r>
      <w:r w:rsidR="003E047E" w:rsidRPr="00E951F4">
        <w:rPr>
          <w:sz w:val="26"/>
          <w:szCs w:val="26"/>
        </w:rPr>
        <w:t xml:space="preserve">In the </w:t>
      </w:r>
      <w:r w:rsidR="003E047E" w:rsidRPr="00E951F4">
        <w:rPr>
          <w:i/>
          <w:iCs/>
          <w:sz w:val="26"/>
          <w:szCs w:val="26"/>
        </w:rPr>
        <w:t xml:space="preserve">PPL DSP </w:t>
      </w:r>
      <w:r w:rsidR="00E90477" w:rsidRPr="00E951F4">
        <w:rPr>
          <w:i/>
          <w:iCs/>
          <w:sz w:val="26"/>
          <w:szCs w:val="26"/>
        </w:rPr>
        <w:t>P</w:t>
      </w:r>
      <w:r w:rsidR="003E047E" w:rsidRPr="00E951F4">
        <w:rPr>
          <w:i/>
          <w:iCs/>
          <w:sz w:val="26"/>
          <w:szCs w:val="26"/>
        </w:rPr>
        <w:t>roceeding</w:t>
      </w:r>
      <w:r w:rsidR="003E047E" w:rsidRPr="00E951F4">
        <w:rPr>
          <w:sz w:val="26"/>
          <w:szCs w:val="26"/>
        </w:rPr>
        <w:t xml:space="preserve">, </w:t>
      </w:r>
      <w:r w:rsidR="001235A5" w:rsidRPr="00E951F4">
        <w:rPr>
          <w:sz w:val="26"/>
          <w:szCs w:val="26"/>
        </w:rPr>
        <w:t xml:space="preserve">the Commission </w:t>
      </w:r>
      <w:r w:rsidR="00C174F6" w:rsidRPr="00E951F4">
        <w:rPr>
          <w:sz w:val="26"/>
          <w:szCs w:val="26"/>
        </w:rPr>
        <w:t xml:space="preserve">approved </w:t>
      </w:r>
      <w:r w:rsidR="003E047E" w:rsidRPr="00E951F4">
        <w:rPr>
          <w:sz w:val="26"/>
          <w:szCs w:val="26"/>
        </w:rPr>
        <w:t>PPL</w:t>
      </w:r>
      <w:r w:rsidR="00AF51C0" w:rsidRPr="00E951F4">
        <w:rPr>
          <w:sz w:val="26"/>
          <w:szCs w:val="26"/>
        </w:rPr>
        <w:t xml:space="preserve">’s </w:t>
      </w:r>
      <w:r w:rsidR="001E07B4" w:rsidRPr="00E951F4">
        <w:rPr>
          <w:sz w:val="26"/>
          <w:szCs w:val="26"/>
        </w:rPr>
        <w:t xml:space="preserve">proposal to </w:t>
      </w:r>
      <w:r w:rsidR="00F71294" w:rsidRPr="00E951F4">
        <w:rPr>
          <w:sz w:val="26"/>
          <w:szCs w:val="26"/>
        </w:rPr>
        <w:t>have</w:t>
      </w:r>
      <w:r w:rsidR="001E07B4" w:rsidRPr="00E951F4">
        <w:rPr>
          <w:sz w:val="26"/>
          <w:szCs w:val="26"/>
        </w:rPr>
        <w:t xml:space="preserve"> its CAP customers </w:t>
      </w:r>
      <w:r w:rsidR="00D55911" w:rsidRPr="00E951F4">
        <w:rPr>
          <w:sz w:val="26"/>
          <w:szCs w:val="26"/>
        </w:rPr>
        <w:t>receive</w:t>
      </w:r>
      <w:r w:rsidR="001E07B4" w:rsidRPr="00E951F4">
        <w:rPr>
          <w:sz w:val="26"/>
          <w:szCs w:val="26"/>
        </w:rPr>
        <w:t xml:space="preserve"> </w:t>
      </w:r>
      <w:r w:rsidR="00D07508" w:rsidRPr="00E951F4">
        <w:rPr>
          <w:sz w:val="26"/>
          <w:szCs w:val="26"/>
        </w:rPr>
        <w:t>d</w:t>
      </w:r>
      <w:r w:rsidR="001E07B4" w:rsidRPr="00E951F4">
        <w:rPr>
          <w:sz w:val="26"/>
          <w:szCs w:val="26"/>
        </w:rPr>
        <w:t xml:space="preserve">efault </w:t>
      </w:r>
      <w:r w:rsidR="00D07508" w:rsidRPr="00E951F4">
        <w:rPr>
          <w:sz w:val="26"/>
          <w:szCs w:val="26"/>
        </w:rPr>
        <w:t>s</w:t>
      </w:r>
      <w:r w:rsidR="001E07B4" w:rsidRPr="00E951F4">
        <w:rPr>
          <w:sz w:val="26"/>
          <w:szCs w:val="26"/>
        </w:rPr>
        <w:t xml:space="preserve">ervice supply </w:t>
      </w:r>
      <w:r w:rsidR="00D07508" w:rsidRPr="00E951F4">
        <w:rPr>
          <w:sz w:val="26"/>
          <w:szCs w:val="26"/>
        </w:rPr>
        <w:t>at the PTC</w:t>
      </w:r>
      <w:r w:rsidR="001E07B4" w:rsidRPr="00E951F4">
        <w:rPr>
          <w:sz w:val="26"/>
          <w:szCs w:val="26"/>
        </w:rPr>
        <w:t>.</w:t>
      </w:r>
      <w:r w:rsidR="00D07508" w:rsidRPr="00E951F4">
        <w:rPr>
          <w:sz w:val="26"/>
          <w:szCs w:val="26"/>
        </w:rPr>
        <w:t xml:space="preserve">  </w:t>
      </w:r>
      <w:r w:rsidR="00C4142D" w:rsidRPr="00E951F4">
        <w:rPr>
          <w:i/>
          <w:iCs/>
          <w:sz w:val="26"/>
          <w:szCs w:val="26"/>
        </w:rPr>
        <w:t>See</w:t>
      </w:r>
      <w:r w:rsidR="00C4142D" w:rsidRPr="00E951F4">
        <w:rPr>
          <w:sz w:val="26"/>
          <w:szCs w:val="26"/>
        </w:rPr>
        <w:t xml:space="preserve"> </w:t>
      </w:r>
      <w:r w:rsidR="00052737" w:rsidRPr="00E951F4">
        <w:rPr>
          <w:i/>
          <w:iCs/>
          <w:sz w:val="26"/>
          <w:szCs w:val="26"/>
        </w:rPr>
        <w:t>PPL DSP Proceeding</w:t>
      </w:r>
      <w:r w:rsidR="00052737" w:rsidRPr="00E951F4">
        <w:rPr>
          <w:sz w:val="26"/>
          <w:szCs w:val="26"/>
        </w:rPr>
        <w:t xml:space="preserve"> at</w:t>
      </w:r>
      <w:r w:rsidR="00C4142D" w:rsidRPr="00E951F4">
        <w:rPr>
          <w:sz w:val="26"/>
          <w:szCs w:val="26"/>
        </w:rPr>
        <w:t xml:space="preserve"> 123-130.</w:t>
      </w:r>
      <w:r w:rsidR="00D07508" w:rsidRPr="00E951F4">
        <w:rPr>
          <w:sz w:val="26"/>
          <w:szCs w:val="26"/>
        </w:rPr>
        <w:t xml:space="preserve"> </w:t>
      </w:r>
      <w:r w:rsidR="001E07B4" w:rsidRPr="00E951F4">
        <w:rPr>
          <w:sz w:val="26"/>
          <w:szCs w:val="26"/>
        </w:rPr>
        <w:t xml:space="preserve"> </w:t>
      </w:r>
      <w:r w:rsidR="00E06745" w:rsidRPr="00E951F4">
        <w:rPr>
          <w:sz w:val="26"/>
          <w:szCs w:val="26"/>
        </w:rPr>
        <w:t xml:space="preserve">Nevertheless, </w:t>
      </w:r>
      <w:r w:rsidR="00E06745" w:rsidRPr="00E951F4">
        <w:rPr>
          <w:color w:val="000000" w:themeColor="text1"/>
          <w:sz w:val="26"/>
          <w:szCs w:val="26"/>
        </w:rPr>
        <w:t xml:space="preserve">PPL Electric </w:t>
      </w:r>
      <w:r w:rsidR="00E06745" w:rsidRPr="00E951F4">
        <w:rPr>
          <w:sz w:val="26"/>
          <w:szCs w:val="26"/>
        </w:rPr>
        <w:t xml:space="preserve">stated </w:t>
      </w:r>
      <w:r w:rsidR="00EB50A8" w:rsidRPr="00E951F4">
        <w:rPr>
          <w:sz w:val="26"/>
          <w:szCs w:val="26"/>
        </w:rPr>
        <w:t xml:space="preserve">in that proceeding </w:t>
      </w:r>
      <w:r w:rsidR="002F00F7" w:rsidRPr="00E951F4">
        <w:rPr>
          <w:sz w:val="26"/>
          <w:szCs w:val="26"/>
        </w:rPr>
        <w:t xml:space="preserve">that </w:t>
      </w:r>
      <w:r w:rsidR="00EB50A8" w:rsidRPr="00E951F4">
        <w:rPr>
          <w:sz w:val="26"/>
          <w:szCs w:val="26"/>
        </w:rPr>
        <w:t xml:space="preserve">if </w:t>
      </w:r>
      <w:r w:rsidR="00E06745" w:rsidRPr="00E951F4">
        <w:rPr>
          <w:sz w:val="26"/>
          <w:szCs w:val="26"/>
        </w:rPr>
        <w:t>the Commission issue</w:t>
      </w:r>
      <w:r w:rsidR="00EB50A8" w:rsidRPr="00E951F4">
        <w:rPr>
          <w:sz w:val="26"/>
          <w:szCs w:val="26"/>
        </w:rPr>
        <w:t>d</w:t>
      </w:r>
      <w:r w:rsidR="00E06745" w:rsidRPr="00E951F4">
        <w:rPr>
          <w:sz w:val="26"/>
          <w:szCs w:val="26"/>
        </w:rPr>
        <w:t xml:space="preserve"> a future order in </w:t>
      </w:r>
      <w:r w:rsidR="00426C9D" w:rsidRPr="00E951F4">
        <w:rPr>
          <w:sz w:val="26"/>
          <w:szCs w:val="26"/>
        </w:rPr>
        <w:t>the</w:t>
      </w:r>
      <w:r w:rsidR="00E06745" w:rsidRPr="00E951F4">
        <w:rPr>
          <w:sz w:val="26"/>
          <w:szCs w:val="26"/>
        </w:rPr>
        <w:t xml:space="preserve"> </w:t>
      </w:r>
      <w:r w:rsidR="00E06745" w:rsidRPr="00E951F4">
        <w:rPr>
          <w:i/>
          <w:iCs/>
          <w:sz w:val="26"/>
          <w:szCs w:val="26"/>
        </w:rPr>
        <w:t>Proposed Policy Statement</w:t>
      </w:r>
      <w:r w:rsidR="00E06745" w:rsidRPr="00E951F4">
        <w:rPr>
          <w:sz w:val="26"/>
          <w:szCs w:val="26"/>
        </w:rPr>
        <w:t xml:space="preserve"> proceeding directing differently than what PPL Electric proposed, PPL Electric w</w:t>
      </w:r>
      <w:r w:rsidR="00E261CB" w:rsidRPr="00E951F4">
        <w:rPr>
          <w:sz w:val="26"/>
          <w:szCs w:val="26"/>
        </w:rPr>
        <w:t>ould</w:t>
      </w:r>
      <w:r w:rsidR="00E06745" w:rsidRPr="00E951F4">
        <w:rPr>
          <w:sz w:val="26"/>
          <w:szCs w:val="26"/>
        </w:rPr>
        <w:t xml:space="preserve"> seek to amend </w:t>
      </w:r>
      <w:r w:rsidR="00E261CB" w:rsidRPr="00E951F4">
        <w:rPr>
          <w:sz w:val="26"/>
          <w:szCs w:val="26"/>
        </w:rPr>
        <w:t>its</w:t>
      </w:r>
      <w:r w:rsidR="00E06745" w:rsidRPr="00E951F4">
        <w:rPr>
          <w:sz w:val="26"/>
          <w:szCs w:val="26"/>
        </w:rPr>
        <w:t xml:space="preserve"> DSP V </w:t>
      </w:r>
      <w:r w:rsidR="008651AE" w:rsidRPr="00E951F4">
        <w:rPr>
          <w:sz w:val="26"/>
          <w:szCs w:val="26"/>
        </w:rPr>
        <w:t xml:space="preserve">regarding </w:t>
      </w:r>
      <w:r w:rsidR="00E06745" w:rsidRPr="00E951F4">
        <w:rPr>
          <w:sz w:val="26"/>
          <w:szCs w:val="26"/>
        </w:rPr>
        <w:t xml:space="preserve">CAP shopping </w:t>
      </w:r>
      <w:r w:rsidR="008651AE" w:rsidRPr="00E951F4">
        <w:rPr>
          <w:sz w:val="26"/>
          <w:szCs w:val="26"/>
        </w:rPr>
        <w:t>to be</w:t>
      </w:r>
      <w:r w:rsidR="00E06745" w:rsidRPr="00E951F4">
        <w:rPr>
          <w:sz w:val="26"/>
          <w:szCs w:val="26"/>
        </w:rPr>
        <w:t xml:space="preserve"> consistent with the Commission’s guidelines.  </w:t>
      </w:r>
      <w:r w:rsidR="00E06745" w:rsidRPr="00E951F4">
        <w:rPr>
          <w:i/>
          <w:iCs/>
          <w:sz w:val="26"/>
          <w:szCs w:val="26"/>
        </w:rPr>
        <w:t>See</w:t>
      </w:r>
      <w:r w:rsidR="00E06745" w:rsidRPr="00E951F4">
        <w:rPr>
          <w:sz w:val="26"/>
          <w:szCs w:val="26"/>
        </w:rPr>
        <w:t xml:space="preserve"> </w:t>
      </w:r>
      <w:r w:rsidR="008651AE" w:rsidRPr="00E951F4">
        <w:rPr>
          <w:i/>
          <w:iCs/>
          <w:sz w:val="26"/>
          <w:szCs w:val="26"/>
        </w:rPr>
        <w:t>PPL DSP Proceeding</w:t>
      </w:r>
      <w:r w:rsidR="008651AE" w:rsidRPr="00E951F4">
        <w:rPr>
          <w:sz w:val="26"/>
          <w:szCs w:val="26"/>
        </w:rPr>
        <w:t xml:space="preserve">, </w:t>
      </w:r>
      <w:r w:rsidR="00E06745" w:rsidRPr="00E951F4">
        <w:rPr>
          <w:sz w:val="26"/>
          <w:szCs w:val="26"/>
        </w:rPr>
        <w:t>PPL Electric St. 3 at 17; PPL Electric M.B. at 31, n.10; PPL Electric R.B. at 16, n.4.</w:t>
      </w:r>
      <w:r w:rsidR="008308AC" w:rsidRPr="00E951F4">
        <w:rPr>
          <w:sz w:val="26"/>
          <w:szCs w:val="26"/>
        </w:rPr>
        <w:t xml:space="preserve">  </w:t>
      </w:r>
    </w:p>
    <w:p w14:paraId="4F0E179D" w14:textId="77777777" w:rsidR="004E04E5" w:rsidRPr="00E951F4" w:rsidRDefault="004E04E5" w:rsidP="00E951F4">
      <w:pPr>
        <w:widowControl/>
        <w:kinsoku w:val="0"/>
        <w:overflowPunct w:val="0"/>
        <w:spacing w:line="360" w:lineRule="auto"/>
        <w:textAlignment w:val="baseline"/>
        <w:rPr>
          <w:sz w:val="26"/>
          <w:szCs w:val="26"/>
        </w:rPr>
      </w:pPr>
    </w:p>
    <w:p w14:paraId="2740408D" w14:textId="3D56B74B" w:rsidR="00484B59" w:rsidRPr="00E951F4" w:rsidRDefault="008308AC" w:rsidP="00E951F4">
      <w:pPr>
        <w:widowControl/>
        <w:kinsoku w:val="0"/>
        <w:overflowPunct w:val="0"/>
        <w:spacing w:line="360" w:lineRule="auto"/>
        <w:ind w:firstLine="1440"/>
        <w:textAlignment w:val="baseline"/>
        <w:rPr>
          <w:color w:val="000000"/>
          <w:sz w:val="26"/>
          <w:szCs w:val="26"/>
        </w:rPr>
      </w:pPr>
      <w:r w:rsidRPr="00E951F4">
        <w:rPr>
          <w:sz w:val="26"/>
          <w:szCs w:val="26"/>
        </w:rPr>
        <w:lastRenderedPageBreak/>
        <w:t xml:space="preserve">Instead of </w:t>
      </w:r>
      <w:r w:rsidR="002F7E71" w:rsidRPr="00E951F4">
        <w:rPr>
          <w:sz w:val="26"/>
          <w:szCs w:val="26"/>
        </w:rPr>
        <w:t xml:space="preserve">relying on a </w:t>
      </w:r>
      <w:r w:rsidR="000F1C8A" w:rsidRPr="00E951F4">
        <w:rPr>
          <w:sz w:val="26"/>
          <w:szCs w:val="26"/>
        </w:rPr>
        <w:t>final</w:t>
      </w:r>
      <w:r w:rsidR="00791D68" w:rsidRPr="00E951F4">
        <w:rPr>
          <w:sz w:val="26"/>
          <w:szCs w:val="26"/>
        </w:rPr>
        <w:t>, non-appealable decision</w:t>
      </w:r>
      <w:r w:rsidR="000F1C8A" w:rsidRPr="00E951F4">
        <w:rPr>
          <w:sz w:val="26"/>
          <w:szCs w:val="26"/>
        </w:rPr>
        <w:t xml:space="preserve"> regarding CAP shopping</w:t>
      </w:r>
      <w:r w:rsidRPr="00E951F4">
        <w:rPr>
          <w:sz w:val="26"/>
          <w:szCs w:val="26"/>
        </w:rPr>
        <w:t xml:space="preserve"> in PPL Electric’s service territory, we believe it would </w:t>
      </w:r>
      <w:r w:rsidR="00605A99" w:rsidRPr="00E951F4">
        <w:rPr>
          <w:sz w:val="26"/>
          <w:szCs w:val="26"/>
        </w:rPr>
        <w:t>be</w:t>
      </w:r>
      <w:r w:rsidRPr="00E951F4">
        <w:rPr>
          <w:sz w:val="26"/>
          <w:szCs w:val="26"/>
        </w:rPr>
        <w:t xml:space="preserve"> more </w:t>
      </w:r>
      <w:r w:rsidR="008D6DFE" w:rsidRPr="00E951F4">
        <w:rPr>
          <w:sz w:val="26"/>
          <w:szCs w:val="26"/>
        </w:rPr>
        <w:t xml:space="preserve">reasonable </w:t>
      </w:r>
      <w:r w:rsidRPr="00E951F4">
        <w:rPr>
          <w:sz w:val="26"/>
          <w:szCs w:val="26"/>
        </w:rPr>
        <w:t xml:space="preserve">for Duquesne Light to </w:t>
      </w:r>
      <w:r w:rsidR="005F7C00" w:rsidRPr="00E951F4">
        <w:rPr>
          <w:sz w:val="26"/>
          <w:szCs w:val="26"/>
        </w:rPr>
        <w:t xml:space="preserve">also </w:t>
      </w:r>
      <w:r w:rsidRPr="00E951F4">
        <w:rPr>
          <w:sz w:val="26"/>
          <w:szCs w:val="26"/>
        </w:rPr>
        <w:t xml:space="preserve">follow the Commission’s guidance in its </w:t>
      </w:r>
      <w:r w:rsidR="005F7C00" w:rsidRPr="00E951F4">
        <w:rPr>
          <w:i/>
          <w:iCs/>
          <w:sz w:val="26"/>
          <w:szCs w:val="26"/>
        </w:rPr>
        <w:t xml:space="preserve">Proposed </w:t>
      </w:r>
      <w:r w:rsidRPr="00E951F4">
        <w:rPr>
          <w:i/>
          <w:iCs/>
          <w:sz w:val="26"/>
          <w:szCs w:val="26"/>
        </w:rPr>
        <w:t>Policy Statement</w:t>
      </w:r>
      <w:r w:rsidRPr="00E951F4">
        <w:rPr>
          <w:sz w:val="26"/>
          <w:szCs w:val="26"/>
        </w:rPr>
        <w:t xml:space="preserve"> once it becomes final</w:t>
      </w:r>
      <w:r w:rsidR="005F7C00" w:rsidRPr="00E951F4">
        <w:rPr>
          <w:sz w:val="26"/>
          <w:szCs w:val="26"/>
        </w:rPr>
        <w:t xml:space="preserve"> and effective</w:t>
      </w:r>
      <w:r w:rsidRPr="00E951F4">
        <w:rPr>
          <w:sz w:val="26"/>
          <w:szCs w:val="26"/>
        </w:rPr>
        <w:t xml:space="preserve">, particularly since Duquesne Light’s original CAP Shopping proposal in this proceeding was consistent with the guidelines in the </w:t>
      </w:r>
      <w:r w:rsidRPr="00E951F4">
        <w:rPr>
          <w:i/>
          <w:iCs/>
          <w:sz w:val="26"/>
          <w:szCs w:val="26"/>
        </w:rPr>
        <w:t>Proposed Policy Statement</w:t>
      </w:r>
      <w:r w:rsidRPr="00E951F4">
        <w:rPr>
          <w:sz w:val="26"/>
          <w:szCs w:val="26"/>
        </w:rPr>
        <w:t xml:space="preserve">.  </w:t>
      </w:r>
      <w:r w:rsidR="00124F7F" w:rsidRPr="00E951F4">
        <w:rPr>
          <w:sz w:val="26"/>
          <w:szCs w:val="26"/>
        </w:rPr>
        <w:t xml:space="preserve">The Commission is currently considering </w:t>
      </w:r>
      <w:r w:rsidR="00D86767" w:rsidRPr="00E951F4">
        <w:rPr>
          <w:sz w:val="26"/>
          <w:szCs w:val="26"/>
        </w:rPr>
        <w:t xml:space="preserve">comments and </w:t>
      </w:r>
      <w:r w:rsidR="004273D3" w:rsidRPr="00E951F4">
        <w:rPr>
          <w:sz w:val="26"/>
          <w:szCs w:val="26"/>
        </w:rPr>
        <w:t xml:space="preserve">reply comments to the </w:t>
      </w:r>
      <w:r w:rsidR="004273D3" w:rsidRPr="00E951F4">
        <w:rPr>
          <w:i/>
          <w:iCs/>
          <w:sz w:val="26"/>
          <w:szCs w:val="26"/>
        </w:rPr>
        <w:t>Proposed Policy Statement</w:t>
      </w:r>
      <w:r w:rsidR="004273D3" w:rsidRPr="00E951F4">
        <w:rPr>
          <w:sz w:val="26"/>
          <w:szCs w:val="26"/>
        </w:rPr>
        <w:t>, including those Duquesne Light</w:t>
      </w:r>
      <w:r w:rsidR="00C1300F" w:rsidRPr="00E951F4">
        <w:rPr>
          <w:sz w:val="26"/>
          <w:szCs w:val="26"/>
        </w:rPr>
        <w:t xml:space="preserve"> submitted</w:t>
      </w:r>
      <w:r w:rsidR="004273D3" w:rsidRPr="00E951F4">
        <w:rPr>
          <w:sz w:val="26"/>
          <w:szCs w:val="26"/>
        </w:rPr>
        <w:t xml:space="preserve">.  The Commission’s guidance </w:t>
      </w:r>
      <w:r w:rsidR="005E5079" w:rsidRPr="00E951F4">
        <w:rPr>
          <w:sz w:val="26"/>
          <w:szCs w:val="26"/>
        </w:rPr>
        <w:t xml:space="preserve">in the </w:t>
      </w:r>
      <w:r w:rsidR="00343B43" w:rsidRPr="00E951F4">
        <w:rPr>
          <w:sz w:val="26"/>
          <w:szCs w:val="26"/>
        </w:rPr>
        <w:t>F</w:t>
      </w:r>
      <w:r w:rsidR="005E5079" w:rsidRPr="00E951F4">
        <w:rPr>
          <w:sz w:val="26"/>
          <w:szCs w:val="26"/>
        </w:rPr>
        <w:t xml:space="preserve">inal Policy Statement, which will be based on </w:t>
      </w:r>
      <w:r w:rsidR="007D20A1" w:rsidRPr="00E951F4">
        <w:rPr>
          <w:color w:val="000000"/>
          <w:sz w:val="26"/>
          <w:szCs w:val="26"/>
        </w:rPr>
        <w:t>various stakeholders’ opinions on and experiences with CAP shopping</w:t>
      </w:r>
      <w:r w:rsidR="00605EA0" w:rsidRPr="00E951F4">
        <w:rPr>
          <w:color w:val="000000"/>
          <w:sz w:val="26"/>
          <w:szCs w:val="26"/>
        </w:rPr>
        <w:t xml:space="preserve">, will assist </w:t>
      </w:r>
      <w:r w:rsidR="0052568A" w:rsidRPr="00E951F4">
        <w:rPr>
          <w:color w:val="000000"/>
          <w:sz w:val="26"/>
          <w:szCs w:val="26"/>
        </w:rPr>
        <w:t xml:space="preserve">Duquesne Light in making an informed decision </w:t>
      </w:r>
      <w:r w:rsidR="004C3199" w:rsidRPr="00E951F4">
        <w:rPr>
          <w:color w:val="000000"/>
          <w:sz w:val="26"/>
          <w:szCs w:val="26"/>
        </w:rPr>
        <w:t xml:space="preserve">regarding </w:t>
      </w:r>
      <w:r w:rsidR="00480B4C" w:rsidRPr="00E951F4">
        <w:rPr>
          <w:color w:val="000000"/>
          <w:sz w:val="26"/>
          <w:szCs w:val="26"/>
        </w:rPr>
        <w:t xml:space="preserve">a future </w:t>
      </w:r>
      <w:r w:rsidR="004C3199" w:rsidRPr="00E951F4">
        <w:rPr>
          <w:color w:val="000000"/>
          <w:sz w:val="26"/>
          <w:szCs w:val="26"/>
        </w:rPr>
        <w:t>CAP shopping</w:t>
      </w:r>
      <w:r w:rsidR="00480B4C" w:rsidRPr="00E951F4">
        <w:rPr>
          <w:color w:val="000000"/>
          <w:sz w:val="26"/>
          <w:szCs w:val="26"/>
        </w:rPr>
        <w:t xml:space="preserve"> filing</w:t>
      </w:r>
      <w:r w:rsidR="00A11C17" w:rsidRPr="00E951F4">
        <w:rPr>
          <w:color w:val="000000"/>
          <w:sz w:val="26"/>
          <w:szCs w:val="26"/>
        </w:rPr>
        <w:t>.</w:t>
      </w:r>
      <w:r w:rsidR="00C1300F" w:rsidRPr="00E951F4">
        <w:rPr>
          <w:color w:val="000000"/>
          <w:sz w:val="26"/>
          <w:szCs w:val="26"/>
        </w:rPr>
        <w:t xml:space="preserve">  Accordingly, we will modify </w:t>
      </w:r>
      <w:r w:rsidR="00961D2B" w:rsidRPr="00E951F4">
        <w:rPr>
          <w:color w:val="000000"/>
          <w:sz w:val="26"/>
          <w:szCs w:val="26"/>
        </w:rPr>
        <w:t>a portion of the CAP Shopping Stipulation to state th</w:t>
      </w:r>
      <w:r w:rsidR="00505792" w:rsidRPr="00E951F4">
        <w:rPr>
          <w:color w:val="000000"/>
          <w:sz w:val="26"/>
          <w:szCs w:val="26"/>
        </w:rPr>
        <w:t>e following</w:t>
      </w:r>
      <w:r w:rsidR="00484B59" w:rsidRPr="00E951F4">
        <w:rPr>
          <w:color w:val="000000"/>
          <w:sz w:val="26"/>
          <w:szCs w:val="26"/>
        </w:rPr>
        <w:t>:</w:t>
      </w:r>
    </w:p>
    <w:p w14:paraId="1264BD0B" w14:textId="77777777" w:rsidR="000C739D" w:rsidRPr="00E951F4" w:rsidRDefault="000C739D" w:rsidP="00E951F4">
      <w:pPr>
        <w:keepNext/>
        <w:keepLines/>
        <w:widowControl/>
        <w:ind w:left="1440" w:right="1440"/>
        <w:contextualSpacing/>
        <w:rPr>
          <w:sz w:val="26"/>
          <w:szCs w:val="26"/>
        </w:rPr>
      </w:pPr>
    </w:p>
    <w:p w14:paraId="39CC1E77" w14:textId="6A580016" w:rsidR="00484B59" w:rsidRPr="00E951F4" w:rsidRDefault="00484B59" w:rsidP="00E951F4">
      <w:pPr>
        <w:keepNext/>
        <w:keepLines/>
        <w:widowControl/>
        <w:ind w:left="1440" w:right="1440"/>
        <w:contextualSpacing/>
        <w:rPr>
          <w:sz w:val="26"/>
          <w:szCs w:val="26"/>
        </w:rPr>
      </w:pPr>
      <w:r w:rsidRPr="00E951F4">
        <w:rPr>
          <w:sz w:val="26"/>
          <w:szCs w:val="26"/>
        </w:rPr>
        <w:t xml:space="preserve">… </w:t>
      </w:r>
      <w:r w:rsidRPr="00E951F4">
        <w:rPr>
          <w:strike/>
          <w:sz w:val="26"/>
          <w:szCs w:val="26"/>
        </w:rPr>
        <w:t>within 6 months of a final, unappealable order implementing CAP Shopping in PPL Electric service territory</w:t>
      </w:r>
      <w:r w:rsidRPr="00E951F4">
        <w:rPr>
          <w:sz w:val="26"/>
          <w:szCs w:val="26"/>
        </w:rPr>
        <w:t xml:space="preserve">, </w:t>
      </w:r>
      <w:r w:rsidR="002F0A8B" w:rsidRPr="00E951F4">
        <w:rPr>
          <w:sz w:val="26"/>
          <w:szCs w:val="26"/>
        </w:rPr>
        <w:t>[</w:t>
      </w:r>
      <w:r w:rsidR="00B60943" w:rsidRPr="00E951F4">
        <w:rPr>
          <w:sz w:val="26"/>
          <w:szCs w:val="26"/>
        </w:rPr>
        <w:t xml:space="preserve">after </w:t>
      </w:r>
      <w:r w:rsidR="00652CAB" w:rsidRPr="00E951F4">
        <w:rPr>
          <w:sz w:val="26"/>
          <w:szCs w:val="26"/>
        </w:rPr>
        <w:t xml:space="preserve">a Final Policy Statement becomes effective at Docket No. </w:t>
      </w:r>
      <w:r w:rsidR="00CD31B1" w:rsidRPr="00E951F4">
        <w:rPr>
          <w:sz w:val="26"/>
          <w:szCs w:val="26"/>
        </w:rPr>
        <w:t>M-2018-300</w:t>
      </w:r>
      <w:r w:rsidR="00E2732F" w:rsidRPr="00E951F4">
        <w:rPr>
          <w:sz w:val="26"/>
          <w:szCs w:val="26"/>
        </w:rPr>
        <w:t>6578</w:t>
      </w:r>
      <w:r w:rsidR="00910AC7" w:rsidRPr="00E951F4">
        <w:rPr>
          <w:sz w:val="26"/>
          <w:szCs w:val="26"/>
        </w:rPr>
        <w:t>]</w:t>
      </w:r>
      <w:r w:rsidR="00E2732F" w:rsidRPr="00E951F4">
        <w:rPr>
          <w:sz w:val="26"/>
          <w:szCs w:val="26"/>
        </w:rPr>
        <w:t xml:space="preserve">, </w:t>
      </w:r>
      <w:r w:rsidRPr="00E951F4">
        <w:rPr>
          <w:sz w:val="26"/>
          <w:szCs w:val="26"/>
        </w:rPr>
        <w:t xml:space="preserve">Duquesne Light will make a filing with the Commission regarding CAP shopping that is consistent with </w:t>
      </w:r>
      <w:r w:rsidR="00E72F97" w:rsidRPr="00E951F4">
        <w:rPr>
          <w:sz w:val="26"/>
          <w:szCs w:val="26"/>
        </w:rPr>
        <w:t xml:space="preserve">the Commission’s guidelines and </w:t>
      </w:r>
      <w:r w:rsidRPr="00E951F4">
        <w:rPr>
          <w:sz w:val="26"/>
          <w:szCs w:val="26"/>
        </w:rPr>
        <w:t xml:space="preserve">Duquesne Light’s CAP design, and which is informed by all available information and data.  </w:t>
      </w:r>
    </w:p>
    <w:p w14:paraId="6BA6CB14" w14:textId="2D9824F0" w:rsidR="008308AC" w:rsidRPr="00E951F4" w:rsidRDefault="008308AC" w:rsidP="00E951F4">
      <w:pPr>
        <w:keepNext/>
        <w:keepLines/>
        <w:widowControl/>
        <w:spacing w:line="360" w:lineRule="auto"/>
        <w:ind w:firstLine="1440"/>
        <w:contextualSpacing/>
        <w:rPr>
          <w:sz w:val="26"/>
          <w:szCs w:val="26"/>
        </w:rPr>
      </w:pPr>
    </w:p>
    <w:p w14:paraId="443EE895" w14:textId="522EA48A" w:rsidR="00D81723" w:rsidRPr="00E951F4" w:rsidRDefault="002B0036" w:rsidP="00E951F4">
      <w:pPr>
        <w:keepNext/>
        <w:widowControl/>
        <w:autoSpaceDE w:val="0"/>
        <w:autoSpaceDN w:val="0"/>
        <w:adjustRightInd w:val="0"/>
        <w:spacing w:line="360" w:lineRule="auto"/>
        <w:rPr>
          <w:sz w:val="26"/>
          <w:szCs w:val="26"/>
        </w:rPr>
      </w:pPr>
      <w:r w:rsidRPr="00E951F4">
        <w:rPr>
          <w:sz w:val="26"/>
          <w:szCs w:val="26"/>
        </w:rPr>
        <w:t xml:space="preserve">This modification will apply provided that the </w:t>
      </w:r>
      <w:r w:rsidR="00367BDF" w:rsidRPr="00E951F4">
        <w:rPr>
          <w:sz w:val="26"/>
          <w:szCs w:val="26"/>
        </w:rPr>
        <w:t>Commission’s final guidelines call for CAP shopping with</w:t>
      </w:r>
      <w:r w:rsidR="00CE21B6" w:rsidRPr="00E951F4">
        <w:rPr>
          <w:sz w:val="26"/>
          <w:szCs w:val="26"/>
        </w:rPr>
        <w:t>in</w:t>
      </w:r>
      <w:r w:rsidR="00367BDF" w:rsidRPr="00E951F4">
        <w:rPr>
          <w:sz w:val="26"/>
          <w:szCs w:val="26"/>
        </w:rPr>
        <w:t xml:space="preserve"> all EDCs’ service territories.   </w:t>
      </w:r>
    </w:p>
    <w:p w14:paraId="4EDD768F" w14:textId="77777777" w:rsidR="00D81723" w:rsidRPr="00E951F4" w:rsidRDefault="00D81723" w:rsidP="00E951F4">
      <w:pPr>
        <w:widowControl/>
        <w:autoSpaceDE w:val="0"/>
        <w:autoSpaceDN w:val="0"/>
        <w:adjustRightInd w:val="0"/>
        <w:spacing w:line="360" w:lineRule="auto"/>
        <w:ind w:firstLine="1440"/>
        <w:rPr>
          <w:sz w:val="26"/>
          <w:szCs w:val="26"/>
        </w:rPr>
      </w:pPr>
    </w:p>
    <w:p w14:paraId="59D0223C" w14:textId="42C29263" w:rsidR="003F2DFE" w:rsidRPr="00E951F4" w:rsidRDefault="00A72B4A" w:rsidP="00E951F4">
      <w:pPr>
        <w:widowControl/>
        <w:autoSpaceDE w:val="0"/>
        <w:autoSpaceDN w:val="0"/>
        <w:adjustRightInd w:val="0"/>
        <w:spacing w:line="360" w:lineRule="auto"/>
        <w:ind w:firstLine="1440"/>
        <w:rPr>
          <w:sz w:val="26"/>
          <w:szCs w:val="26"/>
        </w:rPr>
      </w:pPr>
      <w:r w:rsidRPr="00E951F4">
        <w:rPr>
          <w:sz w:val="26"/>
          <w:szCs w:val="26"/>
        </w:rPr>
        <w:t>Contrary to the</w:t>
      </w:r>
      <w:r w:rsidR="00F078D1" w:rsidRPr="00E951F4">
        <w:rPr>
          <w:sz w:val="26"/>
          <w:szCs w:val="26"/>
        </w:rPr>
        <w:t xml:space="preserve"> EGS Parties’ contention</w:t>
      </w:r>
      <w:r w:rsidR="00255C47" w:rsidRPr="00E951F4">
        <w:rPr>
          <w:sz w:val="26"/>
          <w:szCs w:val="26"/>
        </w:rPr>
        <w:t>s</w:t>
      </w:r>
      <w:r w:rsidR="00F078D1" w:rsidRPr="00E951F4">
        <w:rPr>
          <w:sz w:val="26"/>
          <w:szCs w:val="26"/>
        </w:rPr>
        <w:t xml:space="preserve">, we </w:t>
      </w:r>
      <w:r w:rsidR="00F33B60" w:rsidRPr="00E951F4">
        <w:rPr>
          <w:sz w:val="26"/>
          <w:szCs w:val="26"/>
        </w:rPr>
        <w:t xml:space="preserve">find that </w:t>
      </w:r>
      <w:r w:rsidR="00090DAD" w:rsidRPr="00E951F4">
        <w:rPr>
          <w:sz w:val="26"/>
          <w:szCs w:val="26"/>
        </w:rPr>
        <w:t xml:space="preserve">this </w:t>
      </w:r>
      <w:r w:rsidR="00EE7A18" w:rsidRPr="00E951F4">
        <w:rPr>
          <w:sz w:val="26"/>
          <w:szCs w:val="26"/>
        </w:rPr>
        <w:t xml:space="preserve">carefully considered </w:t>
      </w:r>
      <w:r w:rsidR="00090DAD" w:rsidRPr="00E951F4">
        <w:rPr>
          <w:sz w:val="26"/>
          <w:szCs w:val="26"/>
        </w:rPr>
        <w:t xml:space="preserve">deferral of </w:t>
      </w:r>
      <w:r w:rsidR="00370377" w:rsidRPr="00E951F4">
        <w:rPr>
          <w:sz w:val="26"/>
          <w:szCs w:val="26"/>
        </w:rPr>
        <w:t xml:space="preserve">CAP shopping in </w:t>
      </w:r>
      <w:r w:rsidR="00CC3D84" w:rsidRPr="00E951F4">
        <w:rPr>
          <w:sz w:val="26"/>
          <w:szCs w:val="26"/>
        </w:rPr>
        <w:t xml:space="preserve">Duquesne Light’s service territory is consistent with </w:t>
      </w:r>
      <w:r w:rsidR="00EE7A18" w:rsidRPr="00E951F4">
        <w:rPr>
          <w:sz w:val="26"/>
          <w:szCs w:val="26"/>
        </w:rPr>
        <w:t xml:space="preserve">applicable law and with </w:t>
      </w:r>
      <w:r w:rsidR="00116A10" w:rsidRPr="00E951F4">
        <w:rPr>
          <w:sz w:val="26"/>
          <w:szCs w:val="26"/>
        </w:rPr>
        <w:t xml:space="preserve">the Commission’s statutory obligation to ensure that CAP is cost-effective and available to all those in need.  </w:t>
      </w:r>
      <w:r w:rsidR="00FA6205" w:rsidRPr="00E951F4">
        <w:rPr>
          <w:rFonts w:eastAsia="Calibri"/>
          <w:sz w:val="26"/>
          <w:szCs w:val="26"/>
        </w:rPr>
        <w:t xml:space="preserve">66 Pa. C.S. § 2804(9).  </w:t>
      </w:r>
      <w:r w:rsidR="00D05D91" w:rsidRPr="00E951F4">
        <w:rPr>
          <w:rFonts w:eastAsia="Calibri"/>
          <w:sz w:val="26"/>
          <w:szCs w:val="26"/>
        </w:rPr>
        <w:t>In the</w:t>
      </w:r>
      <w:r w:rsidR="00B70A2B" w:rsidRPr="00E951F4">
        <w:rPr>
          <w:rFonts w:eastAsia="Calibri"/>
          <w:sz w:val="26"/>
          <w:szCs w:val="26"/>
        </w:rPr>
        <w:t xml:space="preserve"> </w:t>
      </w:r>
      <w:r w:rsidR="00B70A2B" w:rsidRPr="00E951F4">
        <w:rPr>
          <w:rFonts w:eastAsia="Calibri"/>
          <w:i/>
          <w:iCs/>
          <w:sz w:val="26"/>
          <w:szCs w:val="26"/>
        </w:rPr>
        <w:t xml:space="preserve">PPL DSP </w:t>
      </w:r>
      <w:r w:rsidR="00AA28C9" w:rsidRPr="00E951F4">
        <w:rPr>
          <w:rFonts w:eastAsia="Calibri"/>
          <w:i/>
          <w:iCs/>
          <w:sz w:val="26"/>
          <w:szCs w:val="26"/>
        </w:rPr>
        <w:t>P</w:t>
      </w:r>
      <w:r w:rsidR="00246A0D" w:rsidRPr="00E951F4">
        <w:rPr>
          <w:rFonts w:eastAsia="Calibri"/>
          <w:i/>
          <w:iCs/>
          <w:sz w:val="26"/>
          <w:szCs w:val="26"/>
        </w:rPr>
        <w:t>roceeding</w:t>
      </w:r>
      <w:r w:rsidR="00246A0D" w:rsidRPr="00E951F4">
        <w:rPr>
          <w:rFonts w:eastAsia="Calibri"/>
          <w:sz w:val="26"/>
          <w:szCs w:val="26"/>
        </w:rPr>
        <w:t>,</w:t>
      </w:r>
      <w:r w:rsidR="00D05D91" w:rsidRPr="00E951F4">
        <w:rPr>
          <w:rFonts w:eastAsia="Calibri"/>
          <w:sz w:val="26"/>
          <w:szCs w:val="26"/>
        </w:rPr>
        <w:t xml:space="preserve"> we concluded that the shopping restrictions </w:t>
      </w:r>
      <w:r w:rsidR="003A33FF" w:rsidRPr="00E951F4">
        <w:rPr>
          <w:rFonts w:eastAsia="Calibri"/>
          <w:sz w:val="26"/>
          <w:szCs w:val="26"/>
        </w:rPr>
        <w:t xml:space="preserve">in that case were consistent with the Commonwealth Court’s decision in </w:t>
      </w:r>
      <w:r w:rsidR="003A33FF" w:rsidRPr="00E951F4">
        <w:rPr>
          <w:rFonts w:eastAsia="Calibri"/>
          <w:i/>
          <w:iCs/>
          <w:sz w:val="26"/>
          <w:szCs w:val="26"/>
        </w:rPr>
        <w:t>CAUSE-PA</w:t>
      </w:r>
      <w:r w:rsidR="003A33FF" w:rsidRPr="00E951F4">
        <w:rPr>
          <w:sz w:val="26"/>
          <w:szCs w:val="26"/>
        </w:rPr>
        <w:t xml:space="preserve">, as PPL Electric </w:t>
      </w:r>
      <w:r w:rsidR="0003756D" w:rsidRPr="00E951F4">
        <w:rPr>
          <w:sz w:val="26"/>
          <w:szCs w:val="26"/>
        </w:rPr>
        <w:t xml:space="preserve">presented substantial evidence supporting </w:t>
      </w:r>
      <w:r w:rsidR="00787237" w:rsidRPr="00E951F4">
        <w:rPr>
          <w:sz w:val="26"/>
          <w:szCs w:val="26"/>
        </w:rPr>
        <w:t>its proposal</w:t>
      </w:r>
      <w:r w:rsidR="00F017D2" w:rsidRPr="00E951F4">
        <w:rPr>
          <w:sz w:val="26"/>
          <w:szCs w:val="26"/>
        </w:rPr>
        <w:t xml:space="preserve"> and the harm associated with its current CAP shopping </w:t>
      </w:r>
      <w:r w:rsidR="0040460C" w:rsidRPr="00E951F4">
        <w:rPr>
          <w:sz w:val="26"/>
          <w:szCs w:val="26"/>
        </w:rPr>
        <w:lastRenderedPageBreak/>
        <w:t>program, while the other parties did not present reasonable alternatives to PPL Electric’s proposal.</w:t>
      </w:r>
      <w:r w:rsidR="003A33FF" w:rsidRPr="00E951F4">
        <w:rPr>
          <w:sz w:val="26"/>
          <w:szCs w:val="26"/>
        </w:rPr>
        <w:t xml:space="preserve"> </w:t>
      </w:r>
      <w:r w:rsidR="00AA28C9" w:rsidRPr="00E951F4">
        <w:rPr>
          <w:sz w:val="26"/>
          <w:szCs w:val="26"/>
        </w:rPr>
        <w:t xml:space="preserve"> </w:t>
      </w:r>
      <w:r w:rsidR="00EE5883" w:rsidRPr="00E951F4">
        <w:rPr>
          <w:i/>
          <w:iCs/>
          <w:sz w:val="26"/>
          <w:szCs w:val="26"/>
        </w:rPr>
        <w:t xml:space="preserve">PPL DSP </w:t>
      </w:r>
      <w:r w:rsidR="00AA28C9" w:rsidRPr="00E951F4">
        <w:rPr>
          <w:i/>
          <w:iCs/>
          <w:sz w:val="26"/>
          <w:szCs w:val="26"/>
        </w:rPr>
        <w:t>Proceeding</w:t>
      </w:r>
      <w:r w:rsidR="00AA28C9" w:rsidRPr="00E951F4">
        <w:rPr>
          <w:sz w:val="26"/>
          <w:szCs w:val="26"/>
        </w:rPr>
        <w:t xml:space="preserve"> </w:t>
      </w:r>
      <w:r w:rsidR="00EE5883" w:rsidRPr="00E951F4">
        <w:rPr>
          <w:sz w:val="26"/>
          <w:szCs w:val="26"/>
        </w:rPr>
        <w:t xml:space="preserve">at </w:t>
      </w:r>
      <w:r w:rsidR="00ED4D37" w:rsidRPr="00E951F4">
        <w:rPr>
          <w:sz w:val="26"/>
          <w:szCs w:val="26"/>
        </w:rPr>
        <w:t xml:space="preserve">124-128; CAUSE-PA at </w:t>
      </w:r>
      <w:r w:rsidR="00753045" w:rsidRPr="00E951F4">
        <w:rPr>
          <w:sz w:val="26"/>
          <w:szCs w:val="26"/>
        </w:rPr>
        <w:t xml:space="preserve">1104. </w:t>
      </w:r>
      <w:r w:rsidR="004A238A" w:rsidRPr="00E951F4">
        <w:rPr>
          <w:sz w:val="26"/>
          <w:szCs w:val="26"/>
        </w:rPr>
        <w:t xml:space="preserve"> </w:t>
      </w:r>
      <w:r w:rsidR="0097355D" w:rsidRPr="00E951F4">
        <w:rPr>
          <w:sz w:val="26"/>
          <w:szCs w:val="26"/>
        </w:rPr>
        <w:t xml:space="preserve">Similarly, here, there is substantial evidence to </w:t>
      </w:r>
      <w:r w:rsidR="001D0B9D" w:rsidRPr="00E951F4">
        <w:rPr>
          <w:sz w:val="26"/>
          <w:szCs w:val="26"/>
        </w:rPr>
        <w:t>support deferring CAP shopping based on the harms associated with it</w:t>
      </w:r>
      <w:r w:rsidR="00C44F97" w:rsidRPr="00E951F4">
        <w:rPr>
          <w:sz w:val="26"/>
          <w:szCs w:val="26"/>
        </w:rPr>
        <w:t>,</w:t>
      </w:r>
      <w:r w:rsidR="004834E6" w:rsidRPr="00E951F4">
        <w:rPr>
          <w:sz w:val="26"/>
          <w:szCs w:val="26"/>
        </w:rPr>
        <w:t xml:space="preserve"> including</w:t>
      </w:r>
      <w:r w:rsidR="00642622" w:rsidRPr="00E951F4">
        <w:rPr>
          <w:sz w:val="26"/>
          <w:szCs w:val="26"/>
        </w:rPr>
        <w:t xml:space="preserve"> harm</w:t>
      </w:r>
      <w:r w:rsidR="00460DFA" w:rsidRPr="00E951F4">
        <w:rPr>
          <w:sz w:val="26"/>
          <w:szCs w:val="26"/>
        </w:rPr>
        <w:t>s</w:t>
      </w:r>
      <w:r w:rsidR="00642622" w:rsidRPr="00E951F4">
        <w:rPr>
          <w:sz w:val="26"/>
          <w:szCs w:val="26"/>
        </w:rPr>
        <w:t xml:space="preserve"> to </w:t>
      </w:r>
      <w:r w:rsidR="00343B43" w:rsidRPr="00E951F4">
        <w:rPr>
          <w:sz w:val="26"/>
          <w:szCs w:val="26"/>
        </w:rPr>
        <w:t xml:space="preserve">the </w:t>
      </w:r>
      <w:r w:rsidR="00642622" w:rsidRPr="00E951F4">
        <w:rPr>
          <w:sz w:val="26"/>
          <w:szCs w:val="26"/>
        </w:rPr>
        <w:t xml:space="preserve">CAP customers and </w:t>
      </w:r>
      <w:r w:rsidR="00343B43" w:rsidRPr="00E951F4">
        <w:rPr>
          <w:sz w:val="26"/>
          <w:szCs w:val="26"/>
        </w:rPr>
        <w:t xml:space="preserve">the </w:t>
      </w:r>
      <w:r w:rsidR="00642622" w:rsidRPr="00E951F4">
        <w:rPr>
          <w:sz w:val="26"/>
          <w:szCs w:val="26"/>
        </w:rPr>
        <w:t>non</w:t>
      </w:r>
      <w:r w:rsidR="00060FDB" w:rsidRPr="00E951F4">
        <w:rPr>
          <w:sz w:val="26"/>
          <w:szCs w:val="26"/>
        </w:rPr>
        <w:t>-CAP customers when</w:t>
      </w:r>
      <w:r w:rsidR="00764ED0" w:rsidRPr="00E951F4">
        <w:rPr>
          <w:sz w:val="26"/>
          <w:szCs w:val="26"/>
        </w:rPr>
        <w:t xml:space="preserve"> </w:t>
      </w:r>
      <w:r w:rsidR="00343B43" w:rsidRPr="00E951F4">
        <w:rPr>
          <w:sz w:val="26"/>
          <w:szCs w:val="26"/>
        </w:rPr>
        <w:t xml:space="preserve">the </w:t>
      </w:r>
      <w:r w:rsidR="00764ED0" w:rsidRPr="00E951F4">
        <w:rPr>
          <w:sz w:val="26"/>
          <w:szCs w:val="26"/>
        </w:rPr>
        <w:t>CAP customers pay more than the PTC</w:t>
      </w:r>
      <w:r w:rsidR="003978E5" w:rsidRPr="00E951F4">
        <w:rPr>
          <w:sz w:val="26"/>
          <w:szCs w:val="26"/>
        </w:rPr>
        <w:t xml:space="preserve">.  </w:t>
      </w:r>
      <w:r w:rsidR="008D6DFE" w:rsidRPr="00E951F4">
        <w:rPr>
          <w:sz w:val="26"/>
          <w:szCs w:val="26"/>
        </w:rPr>
        <w:t>More specifically, w</w:t>
      </w:r>
      <w:r w:rsidR="003978E5" w:rsidRPr="00E951F4">
        <w:rPr>
          <w:sz w:val="26"/>
          <w:szCs w:val="26"/>
        </w:rPr>
        <w:t xml:space="preserve">hen </w:t>
      </w:r>
      <w:r w:rsidR="008D6DFE" w:rsidRPr="00E951F4">
        <w:rPr>
          <w:sz w:val="26"/>
          <w:szCs w:val="26"/>
        </w:rPr>
        <w:t xml:space="preserve">the retail generation price </w:t>
      </w:r>
      <w:r w:rsidR="003978E5" w:rsidRPr="00E951F4">
        <w:rPr>
          <w:sz w:val="26"/>
          <w:szCs w:val="26"/>
        </w:rPr>
        <w:t>a CAP customer</w:t>
      </w:r>
      <w:r w:rsidR="002519B2" w:rsidRPr="00E951F4">
        <w:rPr>
          <w:sz w:val="26"/>
          <w:szCs w:val="26"/>
        </w:rPr>
        <w:t xml:space="preserve"> </w:t>
      </w:r>
      <w:r w:rsidR="008D6DFE" w:rsidRPr="00E951F4">
        <w:rPr>
          <w:sz w:val="26"/>
          <w:szCs w:val="26"/>
        </w:rPr>
        <w:t xml:space="preserve">pays </w:t>
      </w:r>
      <w:r w:rsidR="002519B2" w:rsidRPr="00E951F4">
        <w:rPr>
          <w:sz w:val="26"/>
          <w:szCs w:val="26"/>
        </w:rPr>
        <w:t>exceeds the PTC, the</w:t>
      </w:r>
      <w:r w:rsidR="008D6DFE" w:rsidRPr="00E951F4">
        <w:rPr>
          <w:sz w:val="26"/>
          <w:szCs w:val="26"/>
        </w:rPr>
        <w:t xml:space="preserve"> program</w:t>
      </w:r>
      <w:r w:rsidR="002519B2" w:rsidRPr="00E951F4">
        <w:rPr>
          <w:sz w:val="26"/>
          <w:szCs w:val="26"/>
        </w:rPr>
        <w:t xml:space="preserve"> cost</w:t>
      </w:r>
      <w:r w:rsidR="008D6DFE" w:rsidRPr="00E951F4">
        <w:rPr>
          <w:sz w:val="26"/>
          <w:szCs w:val="26"/>
        </w:rPr>
        <w:t>s</w:t>
      </w:r>
      <w:r w:rsidR="002519B2" w:rsidRPr="00E951F4">
        <w:rPr>
          <w:sz w:val="26"/>
          <w:szCs w:val="26"/>
        </w:rPr>
        <w:t xml:space="preserve"> of CAP </w:t>
      </w:r>
      <w:r w:rsidR="008D6DFE" w:rsidRPr="00E951F4">
        <w:rPr>
          <w:sz w:val="26"/>
          <w:szCs w:val="26"/>
        </w:rPr>
        <w:t>are</w:t>
      </w:r>
      <w:r w:rsidR="002519B2" w:rsidRPr="00E951F4">
        <w:rPr>
          <w:sz w:val="26"/>
          <w:szCs w:val="26"/>
        </w:rPr>
        <w:t xml:space="preserve"> increased, and such increase is </w:t>
      </w:r>
      <w:r w:rsidR="00AE3876" w:rsidRPr="00E951F4">
        <w:rPr>
          <w:sz w:val="26"/>
          <w:szCs w:val="26"/>
        </w:rPr>
        <w:t>paid</w:t>
      </w:r>
      <w:r w:rsidR="002519B2" w:rsidRPr="00E951F4">
        <w:rPr>
          <w:sz w:val="26"/>
          <w:szCs w:val="26"/>
        </w:rPr>
        <w:t xml:space="preserve"> by other residential ratepayers that subsidize the program</w:t>
      </w:r>
      <w:r w:rsidR="00E1770D" w:rsidRPr="00E951F4">
        <w:rPr>
          <w:sz w:val="26"/>
          <w:szCs w:val="26"/>
        </w:rPr>
        <w:t xml:space="preserve"> through distribution rates</w:t>
      </w:r>
      <w:r w:rsidR="002519B2" w:rsidRPr="00E951F4">
        <w:rPr>
          <w:sz w:val="26"/>
          <w:szCs w:val="26"/>
        </w:rPr>
        <w:t xml:space="preserve">.  CAUSE-PA </w:t>
      </w:r>
      <w:r w:rsidR="005A14CF" w:rsidRPr="00E951F4">
        <w:rPr>
          <w:sz w:val="26"/>
          <w:szCs w:val="26"/>
        </w:rPr>
        <w:t xml:space="preserve">St. 1 at </w:t>
      </w:r>
      <w:r w:rsidR="008E596F" w:rsidRPr="00E951F4">
        <w:rPr>
          <w:sz w:val="26"/>
          <w:szCs w:val="26"/>
        </w:rPr>
        <w:t>44</w:t>
      </w:r>
      <w:r w:rsidR="002519B2" w:rsidRPr="00E951F4">
        <w:rPr>
          <w:sz w:val="26"/>
          <w:szCs w:val="26"/>
        </w:rPr>
        <w:t xml:space="preserve">. </w:t>
      </w:r>
      <w:r w:rsidR="00DE4295" w:rsidRPr="00E951F4">
        <w:rPr>
          <w:sz w:val="26"/>
          <w:szCs w:val="26"/>
        </w:rPr>
        <w:t xml:space="preserve"> Additionally, there is evidence </w:t>
      </w:r>
      <w:r w:rsidR="00A11673" w:rsidRPr="00E951F4">
        <w:rPr>
          <w:sz w:val="26"/>
          <w:szCs w:val="26"/>
        </w:rPr>
        <w:t xml:space="preserve">in this proceeding </w:t>
      </w:r>
      <w:r w:rsidR="00DE4295" w:rsidRPr="00E951F4">
        <w:rPr>
          <w:sz w:val="26"/>
          <w:szCs w:val="26"/>
        </w:rPr>
        <w:t xml:space="preserve">that </w:t>
      </w:r>
      <w:r w:rsidR="002519B2" w:rsidRPr="00E951F4">
        <w:rPr>
          <w:sz w:val="26"/>
          <w:szCs w:val="26"/>
        </w:rPr>
        <w:t>even carefully crafted shopping restrictions in the PPL Electric and FirstEnergy service territories have not prevent</w:t>
      </w:r>
      <w:r w:rsidR="00805BAA" w:rsidRPr="00E951F4">
        <w:rPr>
          <w:sz w:val="26"/>
          <w:szCs w:val="26"/>
        </w:rPr>
        <w:t>ed</w:t>
      </w:r>
      <w:r w:rsidR="002519B2" w:rsidRPr="00E951F4">
        <w:rPr>
          <w:sz w:val="26"/>
          <w:szCs w:val="26"/>
        </w:rPr>
        <w:t xml:space="preserve"> CAP shopping prices that exceed the PTC due to holdover contracts for customers that were already shopping and had a contract with an EGS when they entered CAP. </w:t>
      </w:r>
      <w:r w:rsidR="00600C3C" w:rsidRPr="00E951F4">
        <w:rPr>
          <w:sz w:val="26"/>
          <w:szCs w:val="26"/>
        </w:rPr>
        <w:t xml:space="preserve"> </w:t>
      </w:r>
      <w:r w:rsidR="002519B2" w:rsidRPr="00E951F4">
        <w:rPr>
          <w:sz w:val="26"/>
          <w:szCs w:val="26"/>
        </w:rPr>
        <w:t xml:space="preserve">CAUSE-PA St. 1 </w:t>
      </w:r>
      <w:r w:rsidR="007C254E" w:rsidRPr="00E951F4">
        <w:rPr>
          <w:sz w:val="26"/>
          <w:szCs w:val="26"/>
        </w:rPr>
        <w:t xml:space="preserve">at 46-48.  None of the Parties have offered a proposed </w:t>
      </w:r>
      <w:r w:rsidR="004F6E29" w:rsidRPr="00E951F4">
        <w:rPr>
          <w:sz w:val="26"/>
          <w:szCs w:val="26"/>
        </w:rPr>
        <w:t>solution to this problem.</w:t>
      </w:r>
      <w:r w:rsidR="00600C3C" w:rsidRPr="00E951F4">
        <w:rPr>
          <w:sz w:val="26"/>
          <w:szCs w:val="26"/>
        </w:rPr>
        <w:t xml:space="preserve">  </w:t>
      </w:r>
    </w:p>
    <w:p w14:paraId="58BC7676" w14:textId="77777777" w:rsidR="005822AD" w:rsidRPr="00E951F4" w:rsidRDefault="005822AD" w:rsidP="00E951F4">
      <w:pPr>
        <w:widowControl/>
        <w:autoSpaceDE w:val="0"/>
        <w:autoSpaceDN w:val="0"/>
        <w:adjustRightInd w:val="0"/>
        <w:spacing w:line="360" w:lineRule="auto"/>
        <w:ind w:firstLine="1440"/>
        <w:rPr>
          <w:sz w:val="26"/>
          <w:szCs w:val="26"/>
        </w:rPr>
      </w:pPr>
    </w:p>
    <w:p w14:paraId="001E5CA0" w14:textId="2B93FE90" w:rsidR="00F52B95" w:rsidRPr="00E951F4" w:rsidRDefault="006B02DD" w:rsidP="00E951F4">
      <w:pPr>
        <w:widowControl/>
        <w:autoSpaceDE w:val="0"/>
        <w:autoSpaceDN w:val="0"/>
        <w:adjustRightInd w:val="0"/>
        <w:spacing w:line="360" w:lineRule="auto"/>
        <w:ind w:firstLine="1440"/>
        <w:rPr>
          <w:sz w:val="26"/>
          <w:szCs w:val="26"/>
        </w:rPr>
      </w:pPr>
      <w:r w:rsidRPr="00E951F4">
        <w:rPr>
          <w:sz w:val="26"/>
          <w:szCs w:val="26"/>
        </w:rPr>
        <w:t>Moreover, t</w:t>
      </w:r>
      <w:r w:rsidR="004854BE" w:rsidRPr="00E951F4">
        <w:rPr>
          <w:sz w:val="26"/>
          <w:szCs w:val="26"/>
        </w:rPr>
        <w:t xml:space="preserve">he </w:t>
      </w:r>
      <w:r w:rsidR="00A97622" w:rsidRPr="00E951F4">
        <w:rPr>
          <w:sz w:val="26"/>
          <w:szCs w:val="26"/>
        </w:rPr>
        <w:t xml:space="preserve">EGS Parties’ modifications to the Company’s original proposal would not </w:t>
      </w:r>
      <w:r w:rsidRPr="00E951F4">
        <w:rPr>
          <w:sz w:val="26"/>
          <w:szCs w:val="26"/>
        </w:rPr>
        <w:t>be a reasonable or viable alternative based on the record.</w:t>
      </w:r>
      <w:r w:rsidR="00C74337" w:rsidRPr="00E951F4">
        <w:rPr>
          <w:sz w:val="26"/>
          <w:szCs w:val="26"/>
        </w:rPr>
        <w:t xml:space="preserve">  </w:t>
      </w:r>
      <w:r w:rsidR="00D455B7" w:rsidRPr="00E951F4">
        <w:rPr>
          <w:sz w:val="26"/>
          <w:szCs w:val="26"/>
        </w:rPr>
        <w:t xml:space="preserve">The EGS Parties did not clearly explain their recommendation </w:t>
      </w:r>
      <w:r w:rsidR="005D5839" w:rsidRPr="00E951F4">
        <w:rPr>
          <w:sz w:val="26"/>
          <w:szCs w:val="26"/>
        </w:rPr>
        <w:t xml:space="preserve">that the CAP customer remain with the </w:t>
      </w:r>
      <w:r w:rsidR="00E93582" w:rsidRPr="00E951F4">
        <w:rPr>
          <w:sz w:val="26"/>
          <w:szCs w:val="26"/>
        </w:rPr>
        <w:t>EGS at a “program compliant price” a</w:t>
      </w:r>
      <w:r w:rsidR="006C4A9D" w:rsidRPr="00E951F4">
        <w:rPr>
          <w:sz w:val="26"/>
          <w:szCs w:val="26"/>
        </w:rPr>
        <w:t>t the end of the CAP contract</w:t>
      </w:r>
      <w:r w:rsidR="00F52D75" w:rsidRPr="00E951F4">
        <w:rPr>
          <w:sz w:val="26"/>
          <w:szCs w:val="26"/>
        </w:rPr>
        <w:t xml:space="preserve">, as this offer could be the same in terms of the savings offered </w:t>
      </w:r>
      <w:r w:rsidR="007E3EBE" w:rsidRPr="00E951F4">
        <w:rPr>
          <w:sz w:val="26"/>
          <w:szCs w:val="26"/>
        </w:rPr>
        <w:t xml:space="preserve">to the CAP customer in the original contract or it could be </w:t>
      </w:r>
      <w:r w:rsidR="003F2DFE" w:rsidRPr="00E951F4">
        <w:rPr>
          <w:sz w:val="26"/>
          <w:szCs w:val="26"/>
        </w:rPr>
        <w:t xml:space="preserve">at </w:t>
      </w:r>
      <w:r w:rsidR="007E3EBE" w:rsidRPr="00E951F4">
        <w:rPr>
          <w:sz w:val="26"/>
          <w:szCs w:val="26"/>
        </w:rPr>
        <w:t xml:space="preserve">a different or </w:t>
      </w:r>
      <w:r w:rsidR="005602A6" w:rsidRPr="00E951F4">
        <w:rPr>
          <w:sz w:val="26"/>
          <w:szCs w:val="26"/>
        </w:rPr>
        <w:t>lower level of savings compared to the original contract.</w:t>
      </w:r>
      <w:r w:rsidR="00E93582" w:rsidRPr="00E951F4">
        <w:rPr>
          <w:sz w:val="26"/>
          <w:szCs w:val="26"/>
        </w:rPr>
        <w:t xml:space="preserve"> </w:t>
      </w:r>
      <w:r w:rsidR="00D455B7" w:rsidRPr="00E951F4">
        <w:rPr>
          <w:sz w:val="26"/>
          <w:szCs w:val="26"/>
        </w:rPr>
        <w:t xml:space="preserve"> </w:t>
      </w:r>
      <w:r w:rsidR="007355BE" w:rsidRPr="00E951F4">
        <w:rPr>
          <w:sz w:val="26"/>
          <w:szCs w:val="26"/>
        </w:rPr>
        <w:t xml:space="preserve">It may also be difficult for </w:t>
      </w:r>
      <w:r w:rsidR="00E719E9" w:rsidRPr="00E951F4">
        <w:rPr>
          <w:sz w:val="26"/>
          <w:szCs w:val="26"/>
        </w:rPr>
        <w:t xml:space="preserve">Duquesne Light to monitor </w:t>
      </w:r>
      <w:r w:rsidR="00380214" w:rsidRPr="00E951F4">
        <w:rPr>
          <w:sz w:val="26"/>
          <w:szCs w:val="26"/>
        </w:rPr>
        <w:t xml:space="preserve">pricing </w:t>
      </w:r>
      <w:r w:rsidR="006F31E7" w:rsidRPr="00E951F4">
        <w:rPr>
          <w:sz w:val="26"/>
          <w:szCs w:val="26"/>
        </w:rPr>
        <w:t xml:space="preserve">and supplier compliance with </w:t>
      </w:r>
      <w:r w:rsidR="00394B12" w:rsidRPr="00E951F4">
        <w:rPr>
          <w:sz w:val="26"/>
          <w:szCs w:val="26"/>
        </w:rPr>
        <w:t xml:space="preserve">the </w:t>
      </w:r>
      <w:r w:rsidR="006F31E7" w:rsidRPr="00E951F4">
        <w:rPr>
          <w:sz w:val="26"/>
          <w:szCs w:val="26"/>
        </w:rPr>
        <w:t xml:space="preserve">CAP shopping rules in the instance of </w:t>
      </w:r>
      <w:r w:rsidR="00380214" w:rsidRPr="00E951F4">
        <w:rPr>
          <w:sz w:val="26"/>
          <w:szCs w:val="26"/>
        </w:rPr>
        <w:t>a roll-over contract</w:t>
      </w:r>
      <w:r w:rsidR="006F31E7" w:rsidRPr="00E951F4">
        <w:rPr>
          <w:sz w:val="26"/>
          <w:szCs w:val="26"/>
        </w:rPr>
        <w:t xml:space="preserve">.  </w:t>
      </w:r>
      <w:r w:rsidR="00381304" w:rsidRPr="00E951F4">
        <w:rPr>
          <w:sz w:val="26"/>
          <w:szCs w:val="26"/>
        </w:rPr>
        <w:t xml:space="preserve">The EGS Parties’ </w:t>
      </w:r>
      <w:r w:rsidR="009903F3" w:rsidRPr="00E951F4">
        <w:rPr>
          <w:sz w:val="26"/>
          <w:szCs w:val="26"/>
        </w:rPr>
        <w:t xml:space="preserve">other </w:t>
      </w:r>
      <w:r w:rsidR="00381304" w:rsidRPr="00E951F4">
        <w:rPr>
          <w:sz w:val="26"/>
          <w:szCs w:val="26"/>
        </w:rPr>
        <w:t xml:space="preserve">proposal </w:t>
      </w:r>
      <w:r w:rsidR="00AD0283" w:rsidRPr="00E951F4">
        <w:rPr>
          <w:sz w:val="26"/>
          <w:szCs w:val="26"/>
        </w:rPr>
        <w:t xml:space="preserve">that </w:t>
      </w:r>
      <w:r w:rsidR="00394B12" w:rsidRPr="00E951F4">
        <w:rPr>
          <w:sz w:val="26"/>
          <w:szCs w:val="26"/>
        </w:rPr>
        <w:t xml:space="preserve">the </w:t>
      </w:r>
      <w:r w:rsidR="00AD0283" w:rsidRPr="00E951F4">
        <w:rPr>
          <w:sz w:val="26"/>
          <w:szCs w:val="26"/>
        </w:rPr>
        <w:t>CAP customers participate in the SOP</w:t>
      </w:r>
      <w:r w:rsidR="00961378" w:rsidRPr="00E951F4">
        <w:rPr>
          <w:sz w:val="26"/>
          <w:szCs w:val="26"/>
        </w:rPr>
        <w:t xml:space="preserve"> is not feasible</w:t>
      </w:r>
      <w:r w:rsidR="00CD4A86" w:rsidRPr="00E951F4">
        <w:rPr>
          <w:sz w:val="26"/>
          <w:szCs w:val="26"/>
        </w:rPr>
        <w:t xml:space="preserve"> </w:t>
      </w:r>
      <w:r w:rsidR="004F6BC9" w:rsidRPr="00E951F4">
        <w:rPr>
          <w:sz w:val="26"/>
          <w:szCs w:val="26"/>
        </w:rPr>
        <w:t xml:space="preserve">for </w:t>
      </w:r>
      <w:r w:rsidR="00394B12" w:rsidRPr="00E951F4">
        <w:rPr>
          <w:sz w:val="26"/>
          <w:szCs w:val="26"/>
        </w:rPr>
        <w:t xml:space="preserve">the </w:t>
      </w:r>
      <w:r w:rsidR="004F6BC9" w:rsidRPr="00E951F4">
        <w:rPr>
          <w:sz w:val="26"/>
          <w:szCs w:val="26"/>
        </w:rPr>
        <w:t>CAP customers</w:t>
      </w:r>
      <w:r w:rsidR="000C2EE6" w:rsidRPr="00E951F4">
        <w:rPr>
          <w:sz w:val="26"/>
          <w:szCs w:val="26"/>
        </w:rPr>
        <w:t xml:space="preserve"> nor is it compliant with </w:t>
      </w:r>
      <w:r w:rsidR="00394B12" w:rsidRPr="00E951F4">
        <w:rPr>
          <w:sz w:val="26"/>
          <w:szCs w:val="26"/>
        </w:rPr>
        <w:t xml:space="preserve">the </w:t>
      </w:r>
      <w:r w:rsidR="000C2EE6" w:rsidRPr="00E951F4">
        <w:rPr>
          <w:sz w:val="26"/>
          <w:szCs w:val="26"/>
        </w:rPr>
        <w:t>CAP shopping rules</w:t>
      </w:r>
      <w:r w:rsidR="00961378" w:rsidRPr="00E951F4">
        <w:rPr>
          <w:sz w:val="26"/>
          <w:szCs w:val="26"/>
        </w:rPr>
        <w:t>, as t</w:t>
      </w:r>
      <w:r w:rsidR="00CD4A86" w:rsidRPr="00E951F4">
        <w:rPr>
          <w:sz w:val="26"/>
          <w:szCs w:val="26"/>
        </w:rPr>
        <w:t xml:space="preserve">here is no guarantee </w:t>
      </w:r>
      <w:r w:rsidR="004F6BC9" w:rsidRPr="00E951F4">
        <w:rPr>
          <w:sz w:val="26"/>
          <w:szCs w:val="26"/>
        </w:rPr>
        <w:t xml:space="preserve">that </w:t>
      </w:r>
      <w:r w:rsidR="000429CE" w:rsidRPr="00E951F4">
        <w:rPr>
          <w:sz w:val="26"/>
          <w:szCs w:val="26"/>
        </w:rPr>
        <w:t>customers will be given a price equal to or lower than the PTC during the 12-month term of the SOP contract</w:t>
      </w:r>
      <w:r w:rsidR="00875178" w:rsidRPr="00E951F4">
        <w:rPr>
          <w:sz w:val="26"/>
          <w:szCs w:val="26"/>
        </w:rPr>
        <w:t xml:space="preserve">.  </w:t>
      </w:r>
      <w:r w:rsidR="00875178" w:rsidRPr="00E951F4">
        <w:rPr>
          <w:i/>
          <w:iCs/>
          <w:sz w:val="26"/>
          <w:szCs w:val="26"/>
        </w:rPr>
        <w:t>See</w:t>
      </w:r>
      <w:r w:rsidR="00875178" w:rsidRPr="00E951F4">
        <w:rPr>
          <w:sz w:val="26"/>
          <w:szCs w:val="26"/>
        </w:rPr>
        <w:t xml:space="preserve"> OCA St. </w:t>
      </w:r>
      <w:r w:rsidR="00103836" w:rsidRPr="00E951F4">
        <w:rPr>
          <w:sz w:val="26"/>
          <w:szCs w:val="26"/>
        </w:rPr>
        <w:t xml:space="preserve">2-R at </w:t>
      </w:r>
      <w:r w:rsidR="00A61F35" w:rsidRPr="00E951F4">
        <w:rPr>
          <w:sz w:val="26"/>
          <w:szCs w:val="26"/>
        </w:rPr>
        <w:t>7</w:t>
      </w:r>
      <w:r w:rsidR="00891BA5" w:rsidRPr="00E951F4">
        <w:rPr>
          <w:sz w:val="26"/>
          <w:szCs w:val="26"/>
        </w:rPr>
        <w:t>; CAUSE-PA St. 1-R at 12</w:t>
      </w:r>
      <w:r w:rsidR="00A61F35" w:rsidRPr="00E951F4">
        <w:rPr>
          <w:sz w:val="26"/>
          <w:szCs w:val="26"/>
        </w:rPr>
        <w:t>.</w:t>
      </w:r>
      <w:r w:rsidR="00961378" w:rsidRPr="00E951F4">
        <w:rPr>
          <w:sz w:val="26"/>
          <w:szCs w:val="26"/>
        </w:rPr>
        <w:t xml:space="preserve">  </w:t>
      </w:r>
    </w:p>
    <w:p w14:paraId="59F7DB48" w14:textId="77777777" w:rsidR="000C739D" w:rsidRPr="00E951F4" w:rsidRDefault="000C739D" w:rsidP="00E951F4">
      <w:pPr>
        <w:widowControl/>
        <w:spacing w:line="360" w:lineRule="auto"/>
        <w:ind w:firstLine="1440"/>
        <w:contextualSpacing/>
        <w:rPr>
          <w:caps/>
          <w:sz w:val="26"/>
          <w:szCs w:val="26"/>
        </w:rPr>
      </w:pPr>
    </w:p>
    <w:p w14:paraId="39877353" w14:textId="6799ACBB" w:rsidR="009903F3" w:rsidRPr="00E951F4" w:rsidRDefault="009903F3" w:rsidP="00E951F4">
      <w:pPr>
        <w:widowControl/>
        <w:spacing w:line="360" w:lineRule="auto"/>
        <w:ind w:firstLine="1440"/>
        <w:contextualSpacing/>
        <w:rPr>
          <w:sz w:val="26"/>
          <w:szCs w:val="26"/>
        </w:rPr>
      </w:pPr>
      <w:r w:rsidRPr="00E951F4">
        <w:rPr>
          <w:sz w:val="26"/>
          <w:szCs w:val="26"/>
        </w:rPr>
        <w:lastRenderedPageBreak/>
        <w:t>For all of these reasons, we shall deny</w:t>
      </w:r>
      <w:r w:rsidR="00AE7ED9" w:rsidRPr="00E951F4">
        <w:rPr>
          <w:sz w:val="26"/>
          <w:szCs w:val="26"/>
        </w:rPr>
        <w:t xml:space="preserve"> the EGS Parties’ Exceptions and adopt the ALJ’s decision to approve the CAP Shopping Stipulation</w:t>
      </w:r>
      <w:r w:rsidR="008C498B" w:rsidRPr="00E951F4">
        <w:rPr>
          <w:sz w:val="26"/>
          <w:szCs w:val="26"/>
        </w:rPr>
        <w:t>, as modified in this Opinion and Order.</w:t>
      </w:r>
      <w:r w:rsidRPr="00E951F4">
        <w:rPr>
          <w:sz w:val="26"/>
          <w:szCs w:val="26"/>
        </w:rPr>
        <w:t xml:space="preserve">   </w:t>
      </w:r>
    </w:p>
    <w:p w14:paraId="687D36B4" w14:textId="77777777" w:rsidR="00FB101A" w:rsidRPr="00E951F4" w:rsidRDefault="009903F3" w:rsidP="00E951F4">
      <w:pPr>
        <w:keepNext/>
        <w:keepLines/>
        <w:widowControl/>
        <w:spacing w:line="360" w:lineRule="auto"/>
        <w:ind w:firstLine="1440"/>
        <w:contextualSpacing/>
        <w:rPr>
          <w:caps/>
          <w:sz w:val="26"/>
          <w:szCs w:val="26"/>
        </w:rPr>
      </w:pPr>
      <w:r w:rsidRPr="00E951F4">
        <w:rPr>
          <w:caps/>
          <w:sz w:val="26"/>
          <w:szCs w:val="26"/>
        </w:rPr>
        <w:t xml:space="preserve"> </w:t>
      </w:r>
      <w:bookmarkStart w:id="119" w:name="_Toc56512779"/>
    </w:p>
    <w:p w14:paraId="1336717B" w14:textId="7BEA44CB" w:rsidR="00F776A7" w:rsidRPr="00E951F4" w:rsidRDefault="00F776A7" w:rsidP="00E951F4">
      <w:pPr>
        <w:pStyle w:val="Heading1"/>
        <w:keepNext/>
        <w:ind w:left="0" w:firstLine="0"/>
        <w:rPr>
          <w:caps/>
        </w:rPr>
      </w:pPr>
      <w:bookmarkStart w:id="120" w:name="_Toc59620162"/>
      <w:bookmarkStart w:id="121" w:name="_Toc60912056"/>
      <w:r w:rsidRPr="00E951F4">
        <w:t>Conclusion</w:t>
      </w:r>
      <w:bookmarkEnd w:id="119"/>
      <w:bookmarkEnd w:id="120"/>
      <w:bookmarkEnd w:id="121"/>
    </w:p>
    <w:p w14:paraId="2AAC2A5E" w14:textId="77777777" w:rsidR="00F776A7" w:rsidRPr="00E951F4" w:rsidRDefault="00F776A7" w:rsidP="00E951F4">
      <w:pPr>
        <w:keepNext/>
        <w:keepLines/>
        <w:widowControl/>
        <w:spacing w:line="360" w:lineRule="auto"/>
        <w:contextualSpacing/>
        <w:rPr>
          <w:sz w:val="26"/>
          <w:szCs w:val="26"/>
        </w:rPr>
      </w:pPr>
    </w:p>
    <w:p w14:paraId="41200856" w14:textId="700C4F0D" w:rsidR="002B73DD" w:rsidRPr="00E951F4" w:rsidRDefault="00F776A7" w:rsidP="00E951F4">
      <w:pPr>
        <w:keepNext/>
        <w:widowControl/>
        <w:spacing w:line="360" w:lineRule="auto"/>
        <w:contextualSpacing/>
        <w:rPr>
          <w:b/>
          <w:sz w:val="26"/>
          <w:szCs w:val="26"/>
        </w:rPr>
      </w:pPr>
      <w:r w:rsidRPr="00E951F4">
        <w:rPr>
          <w:sz w:val="26"/>
          <w:szCs w:val="26"/>
        </w:rPr>
        <w:tab/>
      </w:r>
      <w:r w:rsidRPr="00E951F4">
        <w:rPr>
          <w:sz w:val="26"/>
          <w:szCs w:val="26"/>
        </w:rPr>
        <w:tab/>
        <w:t xml:space="preserve">Based on the foregoing, we </w:t>
      </w:r>
      <w:r w:rsidR="00E938BF" w:rsidRPr="00E951F4">
        <w:rPr>
          <w:sz w:val="26"/>
          <w:szCs w:val="26"/>
        </w:rPr>
        <w:t xml:space="preserve">shall </w:t>
      </w:r>
      <w:r w:rsidR="00046A6B" w:rsidRPr="00E951F4">
        <w:rPr>
          <w:sz w:val="26"/>
          <w:szCs w:val="26"/>
        </w:rPr>
        <w:t>deny</w:t>
      </w:r>
      <w:r w:rsidR="00E938BF" w:rsidRPr="00E951F4">
        <w:rPr>
          <w:sz w:val="26"/>
          <w:szCs w:val="26"/>
        </w:rPr>
        <w:t xml:space="preserve"> the Exceptions </w:t>
      </w:r>
      <w:r w:rsidR="0078703F" w:rsidRPr="00E951F4">
        <w:rPr>
          <w:sz w:val="26"/>
          <w:szCs w:val="26"/>
        </w:rPr>
        <w:t xml:space="preserve">filed by </w:t>
      </w:r>
      <w:r w:rsidR="003E0B1C" w:rsidRPr="00E951F4">
        <w:rPr>
          <w:sz w:val="26"/>
          <w:szCs w:val="26"/>
        </w:rPr>
        <w:t xml:space="preserve">the </w:t>
      </w:r>
      <w:r w:rsidR="00F819F8" w:rsidRPr="00E951F4">
        <w:rPr>
          <w:sz w:val="26"/>
          <w:szCs w:val="26"/>
        </w:rPr>
        <w:t xml:space="preserve">EGS Parties and MAREC </w:t>
      </w:r>
      <w:r w:rsidR="00607999" w:rsidRPr="00E951F4">
        <w:rPr>
          <w:sz w:val="26"/>
          <w:szCs w:val="26"/>
        </w:rPr>
        <w:t xml:space="preserve">and adopt the </w:t>
      </w:r>
      <w:r w:rsidR="003C753E" w:rsidRPr="00E951F4">
        <w:rPr>
          <w:sz w:val="26"/>
          <w:szCs w:val="26"/>
        </w:rPr>
        <w:t xml:space="preserve">ALJ’s </w:t>
      </w:r>
      <w:r w:rsidR="00607999" w:rsidRPr="00E951F4">
        <w:rPr>
          <w:sz w:val="26"/>
          <w:szCs w:val="26"/>
        </w:rPr>
        <w:t>Recommended Decision, as modified</w:t>
      </w:r>
      <w:r w:rsidR="003C753E" w:rsidRPr="00E951F4">
        <w:rPr>
          <w:sz w:val="26"/>
          <w:szCs w:val="26"/>
        </w:rPr>
        <w:t xml:space="preserve"> by</w:t>
      </w:r>
      <w:r w:rsidRPr="00E951F4">
        <w:rPr>
          <w:sz w:val="26"/>
          <w:szCs w:val="26"/>
        </w:rPr>
        <w:t xml:space="preserve"> this Opinion and Order; </w:t>
      </w:r>
      <w:r w:rsidRPr="00E951F4">
        <w:rPr>
          <w:b/>
          <w:sz w:val="26"/>
          <w:szCs w:val="26"/>
        </w:rPr>
        <w:t>THEREFORE,</w:t>
      </w:r>
    </w:p>
    <w:p w14:paraId="046F14D9" w14:textId="77777777" w:rsidR="002B73DD" w:rsidRPr="00E951F4" w:rsidRDefault="002B73DD" w:rsidP="00E951F4">
      <w:pPr>
        <w:widowControl/>
        <w:spacing w:line="360" w:lineRule="auto"/>
        <w:ind w:left="720" w:firstLine="720"/>
        <w:contextualSpacing/>
        <w:rPr>
          <w:b/>
          <w:sz w:val="26"/>
          <w:szCs w:val="26"/>
        </w:rPr>
      </w:pPr>
    </w:p>
    <w:p w14:paraId="5E3277B0" w14:textId="04EC9DD1" w:rsidR="00F776A7" w:rsidRPr="00E951F4" w:rsidRDefault="00F776A7" w:rsidP="00E951F4">
      <w:pPr>
        <w:widowControl/>
        <w:spacing w:line="360" w:lineRule="auto"/>
        <w:ind w:left="720" w:firstLine="720"/>
        <w:contextualSpacing/>
        <w:rPr>
          <w:b/>
          <w:sz w:val="26"/>
          <w:szCs w:val="26"/>
        </w:rPr>
      </w:pPr>
      <w:r w:rsidRPr="00E951F4">
        <w:rPr>
          <w:b/>
          <w:sz w:val="26"/>
          <w:szCs w:val="26"/>
        </w:rPr>
        <w:t>IT IS ORDERED:</w:t>
      </w:r>
    </w:p>
    <w:p w14:paraId="0097C008" w14:textId="77777777" w:rsidR="00573AA0" w:rsidRPr="00E951F4" w:rsidRDefault="00573AA0" w:rsidP="00E951F4">
      <w:pPr>
        <w:widowControl/>
        <w:spacing w:line="360" w:lineRule="auto"/>
        <w:ind w:firstLine="720"/>
        <w:contextualSpacing/>
        <w:rPr>
          <w:sz w:val="26"/>
          <w:szCs w:val="26"/>
        </w:rPr>
      </w:pPr>
    </w:p>
    <w:p w14:paraId="682939DD" w14:textId="5FCE7F26" w:rsidR="00D450B6" w:rsidRPr="00E951F4" w:rsidRDefault="00017438" w:rsidP="00A13CAC">
      <w:pPr>
        <w:widowControl/>
        <w:spacing w:line="360" w:lineRule="auto"/>
        <w:ind w:firstLine="1440"/>
        <w:contextualSpacing/>
        <w:rPr>
          <w:sz w:val="26"/>
          <w:szCs w:val="26"/>
        </w:rPr>
      </w:pPr>
      <w:r w:rsidRPr="00E951F4">
        <w:rPr>
          <w:sz w:val="26"/>
          <w:szCs w:val="26"/>
        </w:rPr>
        <w:t>1.</w:t>
      </w:r>
      <w:r w:rsidRPr="00E951F4">
        <w:rPr>
          <w:sz w:val="26"/>
          <w:szCs w:val="26"/>
        </w:rPr>
        <w:tab/>
        <w:t xml:space="preserve">That the </w:t>
      </w:r>
      <w:r w:rsidR="00401FD2" w:rsidRPr="00E951F4">
        <w:rPr>
          <w:sz w:val="26"/>
          <w:szCs w:val="26"/>
        </w:rPr>
        <w:t xml:space="preserve">Exceptions </w:t>
      </w:r>
      <w:r w:rsidRPr="00E951F4">
        <w:rPr>
          <w:sz w:val="26"/>
          <w:szCs w:val="26"/>
        </w:rPr>
        <w:t xml:space="preserve">filed by </w:t>
      </w:r>
      <w:r w:rsidR="00401FD2" w:rsidRPr="00E951F4">
        <w:rPr>
          <w:sz w:val="26"/>
          <w:szCs w:val="26"/>
        </w:rPr>
        <w:t>NRG Energy, Inc.</w:t>
      </w:r>
      <w:r w:rsidRPr="00E951F4">
        <w:rPr>
          <w:sz w:val="26"/>
          <w:szCs w:val="26"/>
        </w:rPr>
        <w:t>,</w:t>
      </w:r>
      <w:r w:rsidR="00401FD2" w:rsidRPr="00E951F4">
        <w:rPr>
          <w:sz w:val="26"/>
          <w:szCs w:val="26"/>
        </w:rPr>
        <w:t xml:space="preserve"> Interstate Gas Supply, Inc., Shipley Choice LLC, NRG Energy, Inc., Vistra Corp., Engie Resources LLC, WGL Energy, and Direct Energy Services LLC on November 23, 2020, </w:t>
      </w:r>
      <w:r w:rsidR="00D450B6" w:rsidRPr="00E951F4">
        <w:rPr>
          <w:sz w:val="26"/>
          <w:szCs w:val="26"/>
        </w:rPr>
        <w:t>are denied.</w:t>
      </w:r>
    </w:p>
    <w:p w14:paraId="23B2D036" w14:textId="77777777" w:rsidR="00D450B6" w:rsidRPr="00E951F4" w:rsidRDefault="00D450B6" w:rsidP="00A13CAC">
      <w:pPr>
        <w:widowControl/>
        <w:spacing w:line="360" w:lineRule="auto"/>
        <w:ind w:firstLine="1440"/>
        <w:contextualSpacing/>
        <w:rPr>
          <w:sz w:val="26"/>
          <w:szCs w:val="26"/>
        </w:rPr>
      </w:pPr>
    </w:p>
    <w:p w14:paraId="392AEB7A" w14:textId="071BDA08" w:rsidR="00072D2C" w:rsidRPr="00E951F4" w:rsidRDefault="00D450B6" w:rsidP="00A13CAC">
      <w:pPr>
        <w:widowControl/>
        <w:spacing w:line="360" w:lineRule="auto"/>
        <w:ind w:firstLine="1440"/>
        <w:contextualSpacing/>
        <w:rPr>
          <w:sz w:val="26"/>
          <w:szCs w:val="26"/>
        </w:rPr>
      </w:pPr>
      <w:r w:rsidRPr="00E951F4">
        <w:rPr>
          <w:sz w:val="26"/>
          <w:szCs w:val="26"/>
        </w:rPr>
        <w:t>2.</w:t>
      </w:r>
      <w:r w:rsidRPr="00E951F4">
        <w:rPr>
          <w:sz w:val="26"/>
          <w:szCs w:val="26"/>
        </w:rPr>
        <w:tab/>
        <w:t xml:space="preserve">That the Exceptions </w:t>
      </w:r>
      <w:r w:rsidR="00B952BB" w:rsidRPr="00E951F4">
        <w:rPr>
          <w:sz w:val="26"/>
          <w:szCs w:val="26"/>
        </w:rPr>
        <w:t>filed by MAREC Action on November</w:t>
      </w:r>
      <w:r w:rsidR="00A812F8">
        <w:rPr>
          <w:sz w:val="26"/>
          <w:szCs w:val="26"/>
        </w:rPr>
        <w:t> </w:t>
      </w:r>
      <w:r w:rsidR="00B952BB" w:rsidRPr="00E951F4">
        <w:rPr>
          <w:sz w:val="26"/>
          <w:szCs w:val="26"/>
        </w:rPr>
        <w:t>23,</w:t>
      </w:r>
      <w:r w:rsidR="00A812F8">
        <w:rPr>
          <w:sz w:val="26"/>
          <w:szCs w:val="26"/>
        </w:rPr>
        <w:t> </w:t>
      </w:r>
      <w:r w:rsidR="00B952BB" w:rsidRPr="00E951F4">
        <w:rPr>
          <w:sz w:val="26"/>
          <w:szCs w:val="26"/>
        </w:rPr>
        <w:t>2020, are denied.</w:t>
      </w:r>
    </w:p>
    <w:p w14:paraId="1772DBF8" w14:textId="77777777" w:rsidR="00F354E5" w:rsidRPr="00E951F4" w:rsidRDefault="00F354E5" w:rsidP="00A13CAC">
      <w:pPr>
        <w:widowControl/>
        <w:spacing w:line="360" w:lineRule="auto"/>
        <w:ind w:firstLine="1440"/>
        <w:contextualSpacing/>
        <w:rPr>
          <w:sz w:val="26"/>
          <w:szCs w:val="26"/>
        </w:rPr>
      </w:pPr>
    </w:p>
    <w:p w14:paraId="78F97216" w14:textId="0D847AA5" w:rsidR="00072D2C" w:rsidRPr="00E951F4" w:rsidRDefault="00072D2C" w:rsidP="00A13CAC">
      <w:pPr>
        <w:widowControl/>
        <w:spacing w:line="360" w:lineRule="auto"/>
        <w:ind w:firstLine="1440"/>
        <w:contextualSpacing/>
        <w:rPr>
          <w:sz w:val="26"/>
          <w:szCs w:val="26"/>
        </w:rPr>
      </w:pPr>
      <w:r w:rsidRPr="00E951F4">
        <w:rPr>
          <w:sz w:val="26"/>
          <w:szCs w:val="26"/>
        </w:rPr>
        <w:t>3</w:t>
      </w:r>
      <w:r w:rsidR="00F354E5" w:rsidRPr="00E951F4">
        <w:rPr>
          <w:sz w:val="26"/>
          <w:szCs w:val="26"/>
        </w:rPr>
        <w:t>.</w:t>
      </w:r>
      <w:r w:rsidR="004E04E5" w:rsidRPr="00E951F4">
        <w:rPr>
          <w:sz w:val="26"/>
          <w:szCs w:val="26"/>
        </w:rPr>
        <w:tab/>
      </w:r>
      <w:r w:rsidR="00F354E5" w:rsidRPr="00E951F4">
        <w:rPr>
          <w:sz w:val="26"/>
          <w:szCs w:val="26"/>
        </w:rPr>
        <w:t xml:space="preserve">That the Recommended Decision of Administrative </w:t>
      </w:r>
      <w:r w:rsidR="00593142" w:rsidRPr="00E951F4">
        <w:rPr>
          <w:sz w:val="26"/>
          <w:szCs w:val="26"/>
        </w:rPr>
        <w:t>Law Judge Mark A. Hoyer, served on November 12, 2020, is adopted as modified by this Opinion and Order.</w:t>
      </w:r>
    </w:p>
    <w:p w14:paraId="1A8C873C" w14:textId="3C432BEB" w:rsidR="008939F0" w:rsidRPr="00E951F4" w:rsidRDefault="008939F0" w:rsidP="00A13CAC">
      <w:pPr>
        <w:widowControl/>
        <w:kinsoku w:val="0"/>
        <w:overflowPunct w:val="0"/>
        <w:spacing w:line="360" w:lineRule="auto"/>
        <w:ind w:right="144" w:firstLine="1440"/>
        <w:textAlignment w:val="baseline"/>
        <w:rPr>
          <w:sz w:val="26"/>
          <w:szCs w:val="26"/>
        </w:rPr>
      </w:pPr>
    </w:p>
    <w:p w14:paraId="77F8B5FA" w14:textId="2E61D752" w:rsidR="007966BA" w:rsidRPr="00E951F4" w:rsidRDefault="009C7F9B" w:rsidP="00A13CAC">
      <w:pPr>
        <w:widowControl/>
        <w:kinsoku w:val="0"/>
        <w:overflowPunct w:val="0"/>
        <w:spacing w:line="360" w:lineRule="auto"/>
        <w:ind w:right="144" w:firstLine="1440"/>
        <w:textAlignment w:val="baseline"/>
        <w:rPr>
          <w:sz w:val="26"/>
          <w:szCs w:val="26"/>
        </w:rPr>
      </w:pPr>
      <w:r w:rsidRPr="00E951F4">
        <w:rPr>
          <w:sz w:val="26"/>
          <w:szCs w:val="26"/>
        </w:rPr>
        <w:t>4.</w:t>
      </w:r>
      <w:r w:rsidR="004E04E5" w:rsidRPr="00E951F4">
        <w:rPr>
          <w:sz w:val="26"/>
          <w:szCs w:val="26"/>
        </w:rPr>
        <w:tab/>
      </w:r>
      <w:r w:rsidR="007B53AF" w:rsidRPr="00E951F4">
        <w:rPr>
          <w:sz w:val="26"/>
          <w:szCs w:val="26"/>
        </w:rPr>
        <w:t xml:space="preserve">That the Joint Petition for Approval of </w:t>
      </w:r>
      <w:r w:rsidR="001A5484" w:rsidRPr="00E951F4">
        <w:rPr>
          <w:sz w:val="26"/>
          <w:szCs w:val="26"/>
        </w:rPr>
        <w:t xml:space="preserve">Unopposed Partial Settlement filed </w:t>
      </w:r>
      <w:r w:rsidR="00263BEB" w:rsidRPr="00E951F4">
        <w:rPr>
          <w:sz w:val="26"/>
          <w:szCs w:val="26"/>
        </w:rPr>
        <w:t xml:space="preserve">by </w:t>
      </w:r>
      <w:r w:rsidR="00442C4F" w:rsidRPr="00E951F4">
        <w:rPr>
          <w:sz w:val="26"/>
          <w:szCs w:val="26"/>
        </w:rPr>
        <w:t>Duquesne Light Company, the Office of Consumer Advocate, the Office of Small Business Advocate</w:t>
      </w:r>
      <w:r w:rsidR="00C60F31" w:rsidRPr="00E951F4">
        <w:rPr>
          <w:sz w:val="26"/>
          <w:szCs w:val="26"/>
        </w:rPr>
        <w:t xml:space="preserve">, </w:t>
      </w:r>
      <w:bookmarkStart w:id="122" w:name="_Hlk59542479"/>
      <w:r w:rsidR="00C60F31" w:rsidRPr="00E951F4">
        <w:rPr>
          <w:sz w:val="26"/>
          <w:szCs w:val="26"/>
        </w:rPr>
        <w:t xml:space="preserve">the </w:t>
      </w:r>
      <w:r w:rsidR="009D31EB" w:rsidRPr="00E951F4">
        <w:rPr>
          <w:sz w:val="26"/>
          <w:szCs w:val="26"/>
        </w:rPr>
        <w:t>Coalition for Affordable Utility Services and Energy Efficiency in Pennsylvania</w:t>
      </w:r>
      <w:bookmarkEnd w:id="122"/>
      <w:r w:rsidR="009D31EB" w:rsidRPr="00E951F4">
        <w:rPr>
          <w:sz w:val="26"/>
          <w:szCs w:val="26"/>
        </w:rPr>
        <w:t>, and the Natural Resources</w:t>
      </w:r>
      <w:r w:rsidR="00B57B6D" w:rsidRPr="00E951F4">
        <w:rPr>
          <w:sz w:val="26"/>
          <w:szCs w:val="26"/>
        </w:rPr>
        <w:t xml:space="preserve"> Defense Council</w:t>
      </w:r>
      <w:r w:rsidR="009D31EB" w:rsidRPr="00E951F4">
        <w:rPr>
          <w:sz w:val="26"/>
          <w:szCs w:val="26"/>
        </w:rPr>
        <w:t xml:space="preserve"> </w:t>
      </w:r>
      <w:r w:rsidR="001A5484" w:rsidRPr="00E951F4">
        <w:rPr>
          <w:sz w:val="26"/>
          <w:szCs w:val="26"/>
        </w:rPr>
        <w:t>on October 13, 2020</w:t>
      </w:r>
      <w:r w:rsidR="00B57B6D" w:rsidRPr="00E951F4">
        <w:rPr>
          <w:sz w:val="26"/>
          <w:szCs w:val="26"/>
        </w:rPr>
        <w:t>,</w:t>
      </w:r>
      <w:r w:rsidRPr="00E951F4">
        <w:rPr>
          <w:sz w:val="26"/>
          <w:szCs w:val="26"/>
        </w:rPr>
        <w:t xml:space="preserve"> is approved without modification.  </w:t>
      </w:r>
    </w:p>
    <w:p w14:paraId="69D10013" w14:textId="571C1A75" w:rsidR="003C0931" w:rsidRPr="00E951F4" w:rsidRDefault="003C0931" w:rsidP="00E951F4">
      <w:pPr>
        <w:widowControl/>
        <w:tabs>
          <w:tab w:val="left" w:pos="2160"/>
        </w:tabs>
        <w:kinsoku w:val="0"/>
        <w:overflowPunct w:val="0"/>
        <w:spacing w:line="360" w:lineRule="auto"/>
        <w:ind w:right="144" w:firstLine="1440"/>
        <w:textAlignment w:val="baseline"/>
        <w:rPr>
          <w:sz w:val="26"/>
          <w:szCs w:val="26"/>
        </w:rPr>
      </w:pPr>
    </w:p>
    <w:p w14:paraId="6C2FE37A" w14:textId="3C78CA02" w:rsidR="004C6232" w:rsidRPr="00E951F4" w:rsidRDefault="00645E39" w:rsidP="00E951F4">
      <w:pPr>
        <w:widowControl/>
        <w:kinsoku w:val="0"/>
        <w:overflowPunct w:val="0"/>
        <w:spacing w:line="360" w:lineRule="auto"/>
        <w:ind w:right="144" w:firstLine="1440"/>
        <w:textAlignment w:val="baseline"/>
        <w:rPr>
          <w:sz w:val="26"/>
          <w:szCs w:val="26"/>
        </w:rPr>
      </w:pPr>
      <w:r w:rsidRPr="00E951F4">
        <w:rPr>
          <w:sz w:val="26"/>
          <w:szCs w:val="26"/>
        </w:rPr>
        <w:lastRenderedPageBreak/>
        <w:t>5.</w:t>
      </w:r>
      <w:r w:rsidR="008E5154" w:rsidRPr="00E951F4">
        <w:rPr>
          <w:sz w:val="26"/>
          <w:szCs w:val="26"/>
        </w:rPr>
        <w:tab/>
      </w:r>
      <w:r w:rsidRPr="00E951F4">
        <w:rPr>
          <w:sz w:val="26"/>
          <w:szCs w:val="26"/>
        </w:rPr>
        <w:t xml:space="preserve">That </w:t>
      </w:r>
      <w:r w:rsidR="007D64D3" w:rsidRPr="00E951F4">
        <w:rPr>
          <w:sz w:val="26"/>
          <w:szCs w:val="26"/>
        </w:rPr>
        <w:t xml:space="preserve">the </w:t>
      </w:r>
      <w:r w:rsidR="00024980" w:rsidRPr="00E951F4">
        <w:rPr>
          <w:sz w:val="26"/>
          <w:szCs w:val="26"/>
        </w:rPr>
        <w:t>Customer Assistance Progra</w:t>
      </w:r>
      <w:r w:rsidR="006C5389" w:rsidRPr="00E951F4">
        <w:rPr>
          <w:sz w:val="26"/>
          <w:szCs w:val="26"/>
        </w:rPr>
        <w:t>m (</w:t>
      </w:r>
      <w:r w:rsidR="007D64D3" w:rsidRPr="00E951F4">
        <w:rPr>
          <w:sz w:val="26"/>
          <w:szCs w:val="26"/>
        </w:rPr>
        <w:t>CAP</w:t>
      </w:r>
      <w:r w:rsidR="006C5389" w:rsidRPr="00E951F4">
        <w:rPr>
          <w:sz w:val="26"/>
          <w:szCs w:val="26"/>
        </w:rPr>
        <w:t>)</w:t>
      </w:r>
      <w:r w:rsidR="007D64D3" w:rsidRPr="00E951F4">
        <w:rPr>
          <w:sz w:val="26"/>
          <w:szCs w:val="26"/>
        </w:rPr>
        <w:t xml:space="preserve"> Shopping Stipulation filed by Duquesne Light Company, the Coalition for Affordable Utility Services and Energy Efficiency in Pennsylvania, and the Office of Consumer Advocate on </w:t>
      </w:r>
      <w:r w:rsidR="009561D9" w:rsidRPr="00E951F4">
        <w:rPr>
          <w:sz w:val="26"/>
          <w:szCs w:val="26"/>
        </w:rPr>
        <w:t>September 30, 2020, is modified consistent with this Opinion and Order</w:t>
      </w:r>
      <w:r w:rsidR="0058223F" w:rsidRPr="00E951F4">
        <w:rPr>
          <w:sz w:val="26"/>
          <w:szCs w:val="26"/>
        </w:rPr>
        <w:t>.</w:t>
      </w:r>
    </w:p>
    <w:p w14:paraId="2B023F6A" w14:textId="51BA98A2" w:rsidR="003C0931" w:rsidRPr="00E951F4" w:rsidRDefault="003C0931" w:rsidP="00E951F4">
      <w:pPr>
        <w:widowControl/>
        <w:tabs>
          <w:tab w:val="left" w:pos="2160"/>
        </w:tabs>
        <w:kinsoku w:val="0"/>
        <w:overflowPunct w:val="0"/>
        <w:spacing w:line="360" w:lineRule="auto"/>
        <w:ind w:right="144" w:firstLine="1440"/>
        <w:textAlignment w:val="baseline"/>
        <w:rPr>
          <w:sz w:val="26"/>
          <w:szCs w:val="26"/>
        </w:rPr>
      </w:pPr>
    </w:p>
    <w:p w14:paraId="240ACDB9" w14:textId="00EA8160" w:rsidR="001F6EB9" w:rsidRPr="00E951F4" w:rsidRDefault="0058223F" w:rsidP="00E951F4">
      <w:pPr>
        <w:widowControl/>
        <w:tabs>
          <w:tab w:val="left" w:pos="2160"/>
        </w:tabs>
        <w:kinsoku w:val="0"/>
        <w:overflowPunct w:val="0"/>
        <w:spacing w:line="360" w:lineRule="auto"/>
        <w:ind w:right="144" w:firstLine="1440"/>
        <w:textAlignment w:val="baseline"/>
        <w:rPr>
          <w:sz w:val="26"/>
          <w:szCs w:val="26"/>
        </w:rPr>
      </w:pPr>
      <w:r w:rsidRPr="00E951F4">
        <w:rPr>
          <w:sz w:val="26"/>
          <w:szCs w:val="26"/>
        </w:rPr>
        <w:t>6</w:t>
      </w:r>
      <w:r w:rsidR="00CD5EF0" w:rsidRPr="00E951F4">
        <w:rPr>
          <w:sz w:val="26"/>
          <w:szCs w:val="26"/>
        </w:rPr>
        <w:t>.</w:t>
      </w:r>
      <w:r w:rsidR="008E5154" w:rsidRPr="00E951F4">
        <w:rPr>
          <w:sz w:val="26"/>
          <w:szCs w:val="26"/>
        </w:rPr>
        <w:tab/>
      </w:r>
      <w:r w:rsidR="00CD5EF0" w:rsidRPr="00E951F4">
        <w:rPr>
          <w:sz w:val="26"/>
          <w:szCs w:val="26"/>
        </w:rPr>
        <w:t xml:space="preserve">That </w:t>
      </w:r>
      <w:r w:rsidR="001F6EB9" w:rsidRPr="00E951F4">
        <w:rPr>
          <w:sz w:val="26"/>
          <w:szCs w:val="26"/>
        </w:rPr>
        <w:t xml:space="preserve">Duquesne Light Company is granted all necessary authority and approvals to procure power as set forth in its Default Service Plan, as modified by the </w:t>
      </w:r>
      <w:r w:rsidR="00A37B5A" w:rsidRPr="00E951F4">
        <w:rPr>
          <w:sz w:val="26"/>
          <w:szCs w:val="26"/>
        </w:rPr>
        <w:t>Joint Petition for Approval of Unopposed Partial Settlement</w:t>
      </w:r>
      <w:r w:rsidR="001F6EB9" w:rsidRPr="00E951F4">
        <w:rPr>
          <w:sz w:val="26"/>
          <w:szCs w:val="26"/>
        </w:rPr>
        <w:t xml:space="preserve">, the </w:t>
      </w:r>
      <w:r w:rsidR="006C5389" w:rsidRPr="00E951F4">
        <w:rPr>
          <w:sz w:val="26"/>
          <w:szCs w:val="26"/>
        </w:rPr>
        <w:t xml:space="preserve">Electric Vehicle </w:t>
      </w:r>
      <w:r w:rsidR="007F0813" w:rsidRPr="00E951F4">
        <w:rPr>
          <w:sz w:val="26"/>
          <w:szCs w:val="26"/>
        </w:rPr>
        <w:t>Time</w:t>
      </w:r>
      <w:r w:rsidR="00087903" w:rsidRPr="00E951F4">
        <w:rPr>
          <w:sz w:val="26"/>
          <w:szCs w:val="26"/>
        </w:rPr>
        <w:t>-</w:t>
      </w:r>
      <w:r w:rsidR="007F0813" w:rsidRPr="00E951F4">
        <w:rPr>
          <w:sz w:val="26"/>
          <w:szCs w:val="26"/>
        </w:rPr>
        <w:t>of</w:t>
      </w:r>
      <w:r w:rsidR="00087903" w:rsidRPr="00E951F4">
        <w:rPr>
          <w:sz w:val="26"/>
          <w:szCs w:val="26"/>
        </w:rPr>
        <w:t>-</w:t>
      </w:r>
      <w:r w:rsidR="007F0813" w:rsidRPr="00E951F4">
        <w:rPr>
          <w:sz w:val="26"/>
          <w:szCs w:val="26"/>
        </w:rPr>
        <w:t>Use (</w:t>
      </w:r>
      <w:r w:rsidR="001F6EB9" w:rsidRPr="00E951F4">
        <w:rPr>
          <w:sz w:val="26"/>
          <w:szCs w:val="26"/>
        </w:rPr>
        <w:t>EV-TOU</w:t>
      </w:r>
      <w:r w:rsidR="007F0813" w:rsidRPr="00E951F4">
        <w:rPr>
          <w:sz w:val="26"/>
          <w:szCs w:val="26"/>
        </w:rPr>
        <w:t>)</w:t>
      </w:r>
      <w:r w:rsidR="001F6EB9" w:rsidRPr="00E951F4">
        <w:rPr>
          <w:sz w:val="26"/>
          <w:szCs w:val="26"/>
        </w:rPr>
        <w:t xml:space="preserve"> Stipulation, and the </w:t>
      </w:r>
      <w:r w:rsidR="001A5155" w:rsidRPr="00E951F4">
        <w:rPr>
          <w:sz w:val="26"/>
          <w:szCs w:val="26"/>
        </w:rPr>
        <w:t>Standard Offer Customer Referral Program (</w:t>
      </w:r>
      <w:r w:rsidR="001F6EB9" w:rsidRPr="00E951F4">
        <w:rPr>
          <w:sz w:val="26"/>
          <w:szCs w:val="26"/>
        </w:rPr>
        <w:t>SOP</w:t>
      </w:r>
      <w:r w:rsidR="001A5155" w:rsidRPr="00E951F4">
        <w:rPr>
          <w:sz w:val="26"/>
          <w:szCs w:val="26"/>
        </w:rPr>
        <w:t>)</w:t>
      </w:r>
      <w:r w:rsidR="001F6EB9" w:rsidRPr="00E951F4">
        <w:rPr>
          <w:sz w:val="26"/>
          <w:szCs w:val="26"/>
        </w:rPr>
        <w:t xml:space="preserve"> Stipulation and </w:t>
      </w:r>
      <w:r w:rsidR="00482743" w:rsidRPr="00E951F4">
        <w:rPr>
          <w:sz w:val="26"/>
          <w:szCs w:val="26"/>
        </w:rPr>
        <w:t xml:space="preserve">the </w:t>
      </w:r>
      <w:r w:rsidR="001F6EB9" w:rsidRPr="00E951F4">
        <w:rPr>
          <w:sz w:val="26"/>
          <w:szCs w:val="26"/>
        </w:rPr>
        <w:t>CAP Shopping Stipulation</w:t>
      </w:r>
      <w:r w:rsidR="00175599" w:rsidRPr="00E951F4">
        <w:rPr>
          <w:sz w:val="26"/>
          <w:szCs w:val="26"/>
        </w:rPr>
        <w:t xml:space="preserve">, </w:t>
      </w:r>
      <w:r w:rsidR="001B3EDD" w:rsidRPr="00E951F4">
        <w:rPr>
          <w:sz w:val="26"/>
          <w:szCs w:val="26"/>
        </w:rPr>
        <w:t>as</w:t>
      </w:r>
      <w:r w:rsidR="00175599" w:rsidRPr="00E951F4">
        <w:rPr>
          <w:sz w:val="26"/>
          <w:szCs w:val="26"/>
        </w:rPr>
        <w:t xml:space="preserve"> modifi</w:t>
      </w:r>
      <w:r w:rsidR="001B3EDD" w:rsidRPr="00E951F4">
        <w:rPr>
          <w:sz w:val="26"/>
          <w:szCs w:val="26"/>
        </w:rPr>
        <w:t>ed</w:t>
      </w:r>
      <w:r w:rsidR="00175599" w:rsidRPr="00E951F4">
        <w:rPr>
          <w:sz w:val="26"/>
          <w:szCs w:val="26"/>
        </w:rPr>
        <w:t xml:space="preserve"> </w:t>
      </w:r>
      <w:r w:rsidR="0051437D" w:rsidRPr="00E951F4">
        <w:rPr>
          <w:sz w:val="26"/>
          <w:szCs w:val="26"/>
        </w:rPr>
        <w:t>in this Opinion and Order</w:t>
      </w:r>
      <w:r w:rsidR="001F6EB9" w:rsidRPr="00E951F4">
        <w:rPr>
          <w:sz w:val="26"/>
          <w:szCs w:val="26"/>
        </w:rPr>
        <w:t>.</w:t>
      </w:r>
    </w:p>
    <w:p w14:paraId="557C40AE" w14:textId="77777777" w:rsidR="00EA64E1" w:rsidRPr="00E951F4" w:rsidRDefault="00EA64E1" w:rsidP="00E951F4">
      <w:pPr>
        <w:widowControl/>
        <w:tabs>
          <w:tab w:val="left" w:pos="2160"/>
        </w:tabs>
        <w:kinsoku w:val="0"/>
        <w:overflowPunct w:val="0"/>
        <w:spacing w:line="360" w:lineRule="auto"/>
        <w:ind w:right="144" w:firstLine="1440"/>
        <w:textAlignment w:val="baseline"/>
        <w:rPr>
          <w:sz w:val="26"/>
          <w:szCs w:val="26"/>
        </w:rPr>
      </w:pPr>
    </w:p>
    <w:p w14:paraId="4D830B25" w14:textId="13941E39" w:rsidR="001F6EB9" w:rsidRPr="00E951F4" w:rsidRDefault="0003463E" w:rsidP="00E951F4">
      <w:pPr>
        <w:widowControl/>
        <w:tabs>
          <w:tab w:val="left" w:pos="2160"/>
        </w:tabs>
        <w:kinsoku w:val="0"/>
        <w:overflowPunct w:val="0"/>
        <w:spacing w:line="360" w:lineRule="auto"/>
        <w:ind w:right="648" w:firstLine="1440"/>
        <w:textAlignment w:val="baseline"/>
        <w:rPr>
          <w:sz w:val="26"/>
          <w:szCs w:val="26"/>
        </w:rPr>
      </w:pPr>
      <w:r w:rsidRPr="00E951F4">
        <w:rPr>
          <w:sz w:val="26"/>
          <w:szCs w:val="26"/>
        </w:rPr>
        <w:t>7</w:t>
      </w:r>
      <w:r w:rsidR="003431D6" w:rsidRPr="00E951F4">
        <w:rPr>
          <w:sz w:val="26"/>
          <w:szCs w:val="26"/>
        </w:rPr>
        <w:t>.</w:t>
      </w:r>
      <w:r w:rsidR="008E5154" w:rsidRPr="00E951F4">
        <w:rPr>
          <w:sz w:val="26"/>
          <w:szCs w:val="26"/>
        </w:rPr>
        <w:tab/>
      </w:r>
      <w:r w:rsidRPr="00E951F4">
        <w:rPr>
          <w:sz w:val="26"/>
          <w:szCs w:val="26"/>
        </w:rPr>
        <w:t xml:space="preserve">That </w:t>
      </w:r>
      <w:r w:rsidR="001F6EB9" w:rsidRPr="00E951F4">
        <w:rPr>
          <w:sz w:val="26"/>
          <w:szCs w:val="26"/>
        </w:rPr>
        <w:t xml:space="preserve">Duquesne Light Company’s Default Service Plan, as modified by the </w:t>
      </w:r>
      <w:r w:rsidR="0058223F" w:rsidRPr="00E951F4">
        <w:rPr>
          <w:sz w:val="26"/>
          <w:szCs w:val="26"/>
        </w:rPr>
        <w:t xml:space="preserve">Joint Petition for Approval of Unopposed Partial Settlement </w:t>
      </w:r>
      <w:r w:rsidR="001F6EB9" w:rsidRPr="00E951F4">
        <w:rPr>
          <w:sz w:val="26"/>
          <w:szCs w:val="26"/>
        </w:rPr>
        <w:t xml:space="preserve">, the EV-TOU Stipulation, and the SOP Stipulation and CAP Shopping Stipulation, </w:t>
      </w:r>
      <w:r w:rsidR="001B3EDD" w:rsidRPr="00E951F4">
        <w:rPr>
          <w:sz w:val="26"/>
          <w:szCs w:val="26"/>
        </w:rPr>
        <w:t>as</w:t>
      </w:r>
      <w:r w:rsidR="003608A7" w:rsidRPr="00E951F4">
        <w:rPr>
          <w:sz w:val="26"/>
          <w:szCs w:val="26"/>
        </w:rPr>
        <w:t xml:space="preserve"> modifi</w:t>
      </w:r>
      <w:r w:rsidR="001B3EDD" w:rsidRPr="00E951F4">
        <w:rPr>
          <w:sz w:val="26"/>
          <w:szCs w:val="26"/>
        </w:rPr>
        <w:t>ed</w:t>
      </w:r>
      <w:r w:rsidR="003608A7" w:rsidRPr="00E951F4">
        <w:rPr>
          <w:sz w:val="26"/>
          <w:szCs w:val="26"/>
        </w:rPr>
        <w:t xml:space="preserve"> in this Opinion and Order, </w:t>
      </w:r>
      <w:r w:rsidR="001F6EB9" w:rsidRPr="00E951F4">
        <w:rPr>
          <w:sz w:val="26"/>
          <w:szCs w:val="26"/>
        </w:rPr>
        <w:t>is approved.</w:t>
      </w:r>
    </w:p>
    <w:p w14:paraId="34BA60A2" w14:textId="77777777" w:rsidR="003608A7" w:rsidRPr="00E951F4" w:rsidRDefault="003608A7" w:rsidP="00E951F4">
      <w:pPr>
        <w:widowControl/>
        <w:kinsoku w:val="0"/>
        <w:overflowPunct w:val="0"/>
        <w:spacing w:line="360" w:lineRule="auto"/>
        <w:ind w:right="648" w:firstLine="1440"/>
        <w:textAlignment w:val="baseline"/>
        <w:rPr>
          <w:sz w:val="26"/>
          <w:szCs w:val="26"/>
        </w:rPr>
      </w:pPr>
    </w:p>
    <w:p w14:paraId="374F7B95" w14:textId="3458266F" w:rsidR="001F6EB9" w:rsidRPr="00E951F4" w:rsidRDefault="0003463E" w:rsidP="00E951F4">
      <w:pPr>
        <w:widowControl/>
        <w:tabs>
          <w:tab w:val="left" w:pos="2160"/>
        </w:tabs>
        <w:kinsoku w:val="0"/>
        <w:overflowPunct w:val="0"/>
        <w:spacing w:line="360" w:lineRule="auto"/>
        <w:ind w:right="648" w:firstLine="1440"/>
        <w:textAlignment w:val="baseline"/>
        <w:rPr>
          <w:sz w:val="26"/>
          <w:szCs w:val="26"/>
        </w:rPr>
      </w:pPr>
      <w:r w:rsidRPr="00E951F4">
        <w:rPr>
          <w:sz w:val="26"/>
          <w:szCs w:val="26"/>
        </w:rPr>
        <w:t>8</w:t>
      </w:r>
      <w:r w:rsidR="009E262B" w:rsidRPr="00E951F4">
        <w:rPr>
          <w:sz w:val="26"/>
          <w:szCs w:val="26"/>
        </w:rPr>
        <w:t>.</w:t>
      </w:r>
      <w:r w:rsidR="008E5154" w:rsidRPr="00E951F4">
        <w:rPr>
          <w:sz w:val="26"/>
          <w:szCs w:val="26"/>
        </w:rPr>
        <w:tab/>
      </w:r>
      <w:r w:rsidR="00692ECA" w:rsidRPr="00E951F4">
        <w:rPr>
          <w:sz w:val="26"/>
          <w:szCs w:val="26"/>
        </w:rPr>
        <w:t xml:space="preserve">That </w:t>
      </w:r>
      <w:r w:rsidR="00173A3D" w:rsidRPr="00E951F4">
        <w:rPr>
          <w:sz w:val="26"/>
          <w:szCs w:val="26"/>
        </w:rPr>
        <w:t>the</w:t>
      </w:r>
      <w:r w:rsidR="001F6EB9" w:rsidRPr="00E951F4">
        <w:rPr>
          <w:sz w:val="26"/>
          <w:szCs w:val="26"/>
        </w:rPr>
        <w:t xml:space="preserve"> network integration transmission service proposal </w:t>
      </w:r>
      <w:r w:rsidR="005D1DF9" w:rsidRPr="00E951F4">
        <w:rPr>
          <w:sz w:val="26"/>
          <w:szCs w:val="26"/>
        </w:rPr>
        <w:t xml:space="preserve">of NRG Energy, Inc., Interstate Gas Supply, Inc., Shipley Choice LLC, NRG Energy, Inc., Vistra Corp., Engie Resources LLC, WGL Energy, and Direct Energy Services LLC </w:t>
      </w:r>
      <w:r w:rsidR="001F6EB9" w:rsidRPr="00E951F4">
        <w:rPr>
          <w:sz w:val="26"/>
          <w:szCs w:val="26"/>
        </w:rPr>
        <w:t>is denied.</w:t>
      </w:r>
    </w:p>
    <w:p w14:paraId="0BCDE981" w14:textId="77777777" w:rsidR="002B79B2" w:rsidRPr="00E951F4" w:rsidRDefault="002B79B2" w:rsidP="00E951F4">
      <w:pPr>
        <w:widowControl/>
        <w:spacing w:after="200" w:line="276" w:lineRule="auto"/>
        <w:rPr>
          <w:color w:val="000000"/>
          <w:sz w:val="26"/>
          <w:szCs w:val="26"/>
        </w:rPr>
      </w:pPr>
    </w:p>
    <w:p w14:paraId="7FBA5FDF" w14:textId="5F7B29CF" w:rsidR="005C38A6" w:rsidRPr="00A812F8" w:rsidRDefault="009D044B" w:rsidP="00A812F8">
      <w:pPr>
        <w:keepNext/>
        <w:widowControl/>
        <w:spacing w:after="200" w:line="360" w:lineRule="auto"/>
        <w:ind w:firstLine="1440"/>
        <w:rPr>
          <w:color w:val="000000"/>
          <w:sz w:val="26"/>
          <w:szCs w:val="26"/>
        </w:rPr>
      </w:pPr>
      <w:r w:rsidRPr="00E951F4">
        <w:rPr>
          <w:color w:val="000000"/>
          <w:sz w:val="26"/>
          <w:szCs w:val="26"/>
        </w:rPr>
        <w:lastRenderedPageBreak/>
        <w:t>9</w:t>
      </w:r>
      <w:r w:rsidR="006839E7" w:rsidRPr="00E951F4">
        <w:rPr>
          <w:color w:val="000000"/>
          <w:sz w:val="26"/>
          <w:szCs w:val="26"/>
        </w:rPr>
        <w:t>.</w:t>
      </w:r>
      <w:r w:rsidR="008E5154" w:rsidRPr="00E951F4">
        <w:rPr>
          <w:color w:val="000000"/>
          <w:sz w:val="26"/>
          <w:szCs w:val="26"/>
        </w:rPr>
        <w:tab/>
      </w:r>
      <w:r w:rsidR="004D2339" w:rsidRPr="00E951F4">
        <w:rPr>
          <w:color w:val="000000"/>
          <w:sz w:val="26"/>
          <w:szCs w:val="26"/>
        </w:rPr>
        <w:t>That the proceeding at Docket No. P-2020-3019</w:t>
      </w:r>
      <w:r w:rsidR="00A37085" w:rsidRPr="00E951F4">
        <w:rPr>
          <w:color w:val="000000"/>
          <w:sz w:val="26"/>
          <w:szCs w:val="26"/>
        </w:rPr>
        <w:t>522</w:t>
      </w:r>
      <w:r w:rsidR="004D2339" w:rsidRPr="00E951F4">
        <w:rPr>
          <w:color w:val="000000"/>
          <w:sz w:val="26"/>
          <w:szCs w:val="26"/>
        </w:rPr>
        <w:t xml:space="preserve"> be marked closed.</w:t>
      </w:r>
    </w:p>
    <w:p w14:paraId="1BAD0AEE" w14:textId="6D9BCA31" w:rsidR="00F776A7" w:rsidRPr="00E951F4" w:rsidRDefault="00C068C7" w:rsidP="00E951F4">
      <w:pPr>
        <w:keepNext/>
        <w:widowControl/>
        <w:spacing w:line="360" w:lineRule="auto"/>
        <w:ind w:left="4320" w:firstLine="720"/>
        <w:contextualSpacing/>
        <w:rPr>
          <w:b/>
          <w:sz w:val="26"/>
          <w:szCs w:val="26"/>
        </w:rPr>
      </w:pPr>
      <w:r w:rsidRPr="009F01BA">
        <w:rPr>
          <w:b/>
          <w:noProof/>
        </w:rPr>
        <w:drawing>
          <wp:anchor distT="0" distB="0" distL="114300" distR="114300" simplePos="0" relativeHeight="251659264" behindDoc="1" locked="0" layoutInCell="1" allowOverlap="1" wp14:anchorId="671D922A" wp14:editId="0AE8A481">
            <wp:simplePos x="0" y="0"/>
            <wp:positionH relativeFrom="column">
              <wp:posOffset>3019425</wp:posOffset>
            </wp:positionH>
            <wp:positionV relativeFrom="paragraph">
              <wp:posOffset>113030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776A7" w:rsidRPr="00E951F4">
        <w:rPr>
          <w:b/>
          <w:sz w:val="26"/>
          <w:szCs w:val="26"/>
        </w:rPr>
        <w:t>BY THE COMMISSION,</w:t>
      </w:r>
    </w:p>
    <w:p w14:paraId="588902A2" w14:textId="798B3C78" w:rsidR="00F776A7" w:rsidRPr="00E951F4" w:rsidRDefault="00F776A7" w:rsidP="00A812F8">
      <w:pPr>
        <w:keepNext/>
        <w:keepLines/>
        <w:widowControl/>
        <w:contextualSpacing/>
        <w:rPr>
          <w:sz w:val="26"/>
          <w:szCs w:val="26"/>
        </w:rPr>
      </w:pPr>
    </w:p>
    <w:p w14:paraId="1B36E735" w14:textId="77777777" w:rsidR="00F776A7" w:rsidRPr="00E951F4" w:rsidRDefault="00F776A7" w:rsidP="00A812F8">
      <w:pPr>
        <w:keepNext/>
        <w:keepLines/>
        <w:widowControl/>
        <w:contextualSpacing/>
        <w:rPr>
          <w:b/>
          <w:sz w:val="26"/>
          <w:szCs w:val="26"/>
        </w:rPr>
      </w:pPr>
    </w:p>
    <w:p w14:paraId="42590296" w14:textId="77777777" w:rsidR="00F776A7" w:rsidRPr="00E951F4" w:rsidRDefault="00F776A7" w:rsidP="00A812F8">
      <w:pPr>
        <w:keepNext/>
        <w:keepLines/>
        <w:widowControl/>
        <w:contextualSpacing/>
        <w:rPr>
          <w:b/>
          <w:sz w:val="26"/>
          <w:szCs w:val="26"/>
        </w:rPr>
      </w:pPr>
    </w:p>
    <w:p w14:paraId="6BC51AEB" w14:textId="12FFD0C7" w:rsidR="00F776A7" w:rsidRPr="00E951F4" w:rsidRDefault="00F776A7" w:rsidP="00A812F8">
      <w:pPr>
        <w:keepNext/>
        <w:keepLines/>
        <w:widowControl/>
        <w:ind w:left="5040"/>
        <w:contextualSpacing/>
        <w:rPr>
          <w:sz w:val="26"/>
          <w:szCs w:val="26"/>
        </w:rPr>
      </w:pPr>
      <w:r w:rsidRPr="00E951F4">
        <w:rPr>
          <w:sz w:val="26"/>
          <w:szCs w:val="26"/>
        </w:rPr>
        <w:t>Rosemary Chiavetta</w:t>
      </w:r>
    </w:p>
    <w:p w14:paraId="03A68ED4" w14:textId="7AF92F51" w:rsidR="00F776A7" w:rsidRPr="00E951F4" w:rsidRDefault="00F776A7" w:rsidP="00A812F8">
      <w:pPr>
        <w:keepNext/>
        <w:widowControl/>
        <w:ind w:left="5040"/>
        <w:contextualSpacing/>
        <w:rPr>
          <w:sz w:val="26"/>
          <w:szCs w:val="26"/>
        </w:rPr>
      </w:pPr>
      <w:r w:rsidRPr="00E951F4">
        <w:rPr>
          <w:sz w:val="26"/>
          <w:szCs w:val="26"/>
        </w:rPr>
        <w:t>Secretary</w:t>
      </w:r>
    </w:p>
    <w:p w14:paraId="27C20C65" w14:textId="4072D477" w:rsidR="00F776A7" w:rsidRPr="00E951F4" w:rsidRDefault="00F776A7" w:rsidP="00E951F4">
      <w:pPr>
        <w:keepNext/>
        <w:widowControl/>
        <w:contextualSpacing/>
        <w:rPr>
          <w:sz w:val="26"/>
          <w:szCs w:val="26"/>
        </w:rPr>
      </w:pPr>
    </w:p>
    <w:p w14:paraId="104DBF5C" w14:textId="77777777" w:rsidR="007F333A" w:rsidRPr="00E951F4" w:rsidRDefault="007F333A" w:rsidP="00E951F4">
      <w:pPr>
        <w:keepNext/>
        <w:widowControl/>
        <w:contextualSpacing/>
        <w:rPr>
          <w:sz w:val="26"/>
          <w:szCs w:val="26"/>
        </w:rPr>
      </w:pPr>
    </w:p>
    <w:p w14:paraId="5A624D11" w14:textId="77777777" w:rsidR="00F776A7" w:rsidRPr="00E951F4" w:rsidRDefault="00F776A7" w:rsidP="00E951F4">
      <w:pPr>
        <w:keepNext/>
        <w:keepLines/>
        <w:widowControl/>
        <w:tabs>
          <w:tab w:val="left" w:pos="-720"/>
        </w:tabs>
        <w:suppressAutoHyphens/>
        <w:contextualSpacing/>
        <w:rPr>
          <w:sz w:val="26"/>
          <w:szCs w:val="26"/>
        </w:rPr>
      </w:pPr>
      <w:r w:rsidRPr="00E951F4">
        <w:rPr>
          <w:sz w:val="26"/>
          <w:szCs w:val="26"/>
        </w:rPr>
        <w:t>(SEAL)</w:t>
      </w:r>
    </w:p>
    <w:p w14:paraId="08335EDE" w14:textId="77777777" w:rsidR="00F776A7" w:rsidRPr="00E951F4" w:rsidRDefault="00F776A7" w:rsidP="00E951F4">
      <w:pPr>
        <w:keepNext/>
        <w:keepLines/>
        <w:widowControl/>
        <w:tabs>
          <w:tab w:val="left" w:pos="-720"/>
        </w:tabs>
        <w:suppressAutoHyphens/>
        <w:contextualSpacing/>
        <w:rPr>
          <w:sz w:val="26"/>
          <w:szCs w:val="26"/>
        </w:rPr>
      </w:pPr>
    </w:p>
    <w:p w14:paraId="35CB2E62" w14:textId="42943582" w:rsidR="00F776A7" w:rsidRPr="00E951F4" w:rsidRDefault="008229A0" w:rsidP="00E951F4">
      <w:pPr>
        <w:keepNext/>
        <w:keepLines/>
        <w:widowControl/>
        <w:tabs>
          <w:tab w:val="left" w:pos="-720"/>
        </w:tabs>
        <w:suppressAutoHyphens/>
        <w:contextualSpacing/>
        <w:rPr>
          <w:sz w:val="26"/>
          <w:szCs w:val="26"/>
        </w:rPr>
      </w:pPr>
      <w:r w:rsidRPr="00E951F4">
        <w:rPr>
          <w:sz w:val="26"/>
          <w:szCs w:val="26"/>
        </w:rPr>
        <w:t xml:space="preserve">ORDER ADOPTED:  </w:t>
      </w:r>
      <w:r w:rsidR="00887E40" w:rsidRPr="00E951F4">
        <w:rPr>
          <w:sz w:val="26"/>
          <w:szCs w:val="26"/>
        </w:rPr>
        <w:t>January 14</w:t>
      </w:r>
      <w:r w:rsidR="00F776A7" w:rsidRPr="00E951F4">
        <w:rPr>
          <w:sz w:val="26"/>
          <w:szCs w:val="26"/>
        </w:rPr>
        <w:t>, 20</w:t>
      </w:r>
      <w:r w:rsidR="00FE26FB" w:rsidRPr="00E951F4">
        <w:rPr>
          <w:sz w:val="26"/>
          <w:szCs w:val="26"/>
        </w:rPr>
        <w:t>2</w:t>
      </w:r>
      <w:r w:rsidR="00AD2A38" w:rsidRPr="00E951F4">
        <w:rPr>
          <w:sz w:val="26"/>
          <w:szCs w:val="26"/>
        </w:rPr>
        <w:t>1</w:t>
      </w:r>
      <w:r w:rsidR="00F776A7" w:rsidRPr="00E951F4">
        <w:rPr>
          <w:sz w:val="26"/>
          <w:szCs w:val="26"/>
        </w:rPr>
        <w:t xml:space="preserve"> </w:t>
      </w:r>
    </w:p>
    <w:p w14:paraId="4EBF473C" w14:textId="77777777" w:rsidR="00F776A7" w:rsidRPr="00E951F4" w:rsidRDefault="00F776A7" w:rsidP="00E951F4">
      <w:pPr>
        <w:keepNext/>
        <w:keepLines/>
        <w:widowControl/>
        <w:tabs>
          <w:tab w:val="left" w:pos="-720"/>
        </w:tabs>
        <w:suppressAutoHyphens/>
        <w:contextualSpacing/>
        <w:rPr>
          <w:sz w:val="26"/>
          <w:szCs w:val="26"/>
        </w:rPr>
      </w:pPr>
    </w:p>
    <w:p w14:paraId="1B1C9646" w14:textId="760E428A" w:rsidR="00F776A7" w:rsidRPr="001207A2" w:rsidRDefault="00F776A7" w:rsidP="00E951F4">
      <w:pPr>
        <w:keepNext/>
        <w:keepLines/>
        <w:widowControl/>
        <w:tabs>
          <w:tab w:val="left" w:pos="-720"/>
        </w:tabs>
        <w:suppressAutoHyphens/>
        <w:contextualSpacing/>
        <w:rPr>
          <w:sz w:val="26"/>
          <w:szCs w:val="26"/>
        </w:rPr>
      </w:pPr>
      <w:r w:rsidRPr="00E951F4">
        <w:rPr>
          <w:sz w:val="26"/>
          <w:szCs w:val="26"/>
        </w:rPr>
        <w:t>ORDER ENTERED:</w:t>
      </w:r>
      <w:r w:rsidRPr="001207A2">
        <w:rPr>
          <w:sz w:val="26"/>
          <w:szCs w:val="26"/>
        </w:rPr>
        <w:t xml:space="preserve">  </w:t>
      </w:r>
      <w:r w:rsidR="00C068C7">
        <w:rPr>
          <w:sz w:val="26"/>
          <w:szCs w:val="26"/>
        </w:rPr>
        <w:t>January 14, 2021</w:t>
      </w:r>
    </w:p>
    <w:sectPr w:rsidR="00F776A7" w:rsidRPr="001207A2" w:rsidSect="00A13CAC">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780A" w14:textId="77777777" w:rsidR="00AA00FA" w:rsidRDefault="00AA00FA" w:rsidP="002179E4">
      <w:r>
        <w:separator/>
      </w:r>
    </w:p>
  </w:endnote>
  <w:endnote w:type="continuationSeparator" w:id="0">
    <w:p w14:paraId="323F746C" w14:textId="77777777" w:rsidR="00AA00FA" w:rsidRDefault="00AA00FA" w:rsidP="002179E4">
      <w:r>
        <w:continuationSeparator/>
      </w:r>
    </w:p>
  </w:endnote>
  <w:endnote w:type="continuationNotice" w:id="1">
    <w:p w14:paraId="1990C44C" w14:textId="77777777" w:rsidR="00AA00FA" w:rsidRDefault="00AA0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572279"/>
      <w:docPartObj>
        <w:docPartGallery w:val="Page Numbers (Bottom of Page)"/>
        <w:docPartUnique/>
      </w:docPartObj>
    </w:sdtPr>
    <w:sdtEndPr>
      <w:rPr>
        <w:noProof/>
        <w:sz w:val="26"/>
        <w:szCs w:val="26"/>
      </w:rPr>
    </w:sdtEndPr>
    <w:sdtContent>
      <w:p w14:paraId="3B6A29DC" w14:textId="141D3FC0" w:rsidR="007E1594" w:rsidRDefault="007E1594" w:rsidP="007E1594">
        <w:pPr>
          <w:pStyle w:val="Footer"/>
          <w:tabs>
            <w:tab w:val="clear" w:pos="4680"/>
            <w:tab w:val="clear" w:pos="9360"/>
          </w:tabs>
          <w:jc w:val="center"/>
        </w:pPr>
        <w:r w:rsidRPr="007D4428">
          <w:rPr>
            <w:sz w:val="26"/>
            <w:szCs w:val="26"/>
          </w:rPr>
          <w:fldChar w:fldCharType="begin"/>
        </w:r>
        <w:r w:rsidRPr="007D4428">
          <w:rPr>
            <w:sz w:val="26"/>
            <w:szCs w:val="26"/>
          </w:rPr>
          <w:instrText xml:space="preserve"> PAGE   \* MERGEFORMAT </w:instrText>
        </w:r>
        <w:r w:rsidRPr="007D4428">
          <w:rPr>
            <w:sz w:val="26"/>
            <w:szCs w:val="26"/>
          </w:rPr>
          <w:fldChar w:fldCharType="separate"/>
        </w:r>
        <w:r w:rsidRPr="007D4428">
          <w:rPr>
            <w:noProof/>
            <w:sz w:val="26"/>
            <w:szCs w:val="26"/>
          </w:rPr>
          <w:t>68</w:t>
        </w:r>
        <w:r w:rsidRPr="007D4428">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02532"/>
      <w:docPartObj>
        <w:docPartGallery w:val="Page Numbers (Bottom of Page)"/>
        <w:docPartUnique/>
      </w:docPartObj>
    </w:sdtPr>
    <w:sdtEndPr>
      <w:rPr>
        <w:noProof/>
        <w:sz w:val="26"/>
        <w:szCs w:val="26"/>
      </w:rPr>
    </w:sdtEndPr>
    <w:sdtContent>
      <w:p w14:paraId="65E44377" w14:textId="45B1ADE4" w:rsidR="007E1594" w:rsidRPr="00A13CAC" w:rsidRDefault="00A13CAC" w:rsidP="00A13CAC">
        <w:pPr>
          <w:pStyle w:val="Footer"/>
          <w:jc w:val="center"/>
          <w:rPr>
            <w:sz w:val="26"/>
            <w:szCs w:val="26"/>
          </w:rPr>
        </w:pPr>
        <w:r w:rsidRPr="00A13CAC">
          <w:rPr>
            <w:sz w:val="26"/>
            <w:szCs w:val="26"/>
          </w:rPr>
          <w:fldChar w:fldCharType="begin"/>
        </w:r>
        <w:r w:rsidRPr="00A13CAC">
          <w:rPr>
            <w:sz w:val="26"/>
            <w:szCs w:val="26"/>
          </w:rPr>
          <w:instrText xml:space="preserve"> PAGE   \* MERGEFORMAT </w:instrText>
        </w:r>
        <w:r w:rsidRPr="00A13CAC">
          <w:rPr>
            <w:sz w:val="26"/>
            <w:szCs w:val="26"/>
          </w:rPr>
          <w:fldChar w:fldCharType="separate"/>
        </w:r>
        <w:r w:rsidRPr="00A13CAC">
          <w:rPr>
            <w:noProof/>
            <w:sz w:val="26"/>
            <w:szCs w:val="26"/>
          </w:rPr>
          <w:t>2</w:t>
        </w:r>
        <w:r w:rsidRPr="00A13CA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363649"/>
      <w:docPartObj>
        <w:docPartGallery w:val="Page Numbers (Bottom of Page)"/>
        <w:docPartUnique/>
      </w:docPartObj>
    </w:sdtPr>
    <w:sdtEndPr>
      <w:rPr>
        <w:noProof/>
        <w:sz w:val="26"/>
        <w:szCs w:val="26"/>
      </w:rPr>
    </w:sdtEndPr>
    <w:sdtContent>
      <w:p w14:paraId="305365AA" w14:textId="77777777" w:rsidR="00A13CAC" w:rsidRPr="00A13CAC" w:rsidRDefault="00A13CAC" w:rsidP="00A13CAC">
        <w:pPr>
          <w:pStyle w:val="Footer"/>
          <w:jc w:val="center"/>
          <w:rPr>
            <w:sz w:val="26"/>
            <w:szCs w:val="26"/>
          </w:rPr>
        </w:pPr>
        <w:r w:rsidRPr="00A13CAC">
          <w:rPr>
            <w:sz w:val="26"/>
            <w:szCs w:val="26"/>
          </w:rPr>
          <w:fldChar w:fldCharType="begin"/>
        </w:r>
        <w:r w:rsidRPr="00A13CAC">
          <w:rPr>
            <w:sz w:val="26"/>
            <w:szCs w:val="26"/>
          </w:rPr>
          <w:instrText xml:space="preserve"> PAGE   \* MERGEFORMAT </w:instrText>
        </w:r>
        <w:r w:rsidRPr="00A13CAC">
          <w:rPr>
            <w:sz w:val="26"/>
            <w:szCs w:val="26"/>
          </w:rPr>
          <w:fldChar w:fldCharType="separate"/>
        </w:r>
        <w:r w:rsidRPr="00A13CAC">
          <w:rPr>
            <w:noProof/>
            <w:sz w:val="26"/>
            <w:szCs w:val="26"/>
          </w:rPr>
          <w:t>2</w:t>
        </w:r>
        <w:r w:rsidRPr="00A13CAC">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25D1" w14:textId="77777777" w:rsidR="00AA00FA" w:rsidRDefault="00AA00FA" w:rsidP="002179E4">
      <w:r>
        <w:separator/>
      </w:r>
    </w:p>
  </w:footnote>
  <w:footnote w:type="continuationSeparator" w:id="0">
    <w:p w14:paraId="59C09A9C" w14:textId="77777777" w:rsidR="00AA00FA" w:rsidRDefault="00AA00FA" w:rsidP="002179E4">
      <w:r>
        <w:continuationSeparator/>
      </w:r>
    </w:p>
  </w:footnote>
  <w:footnote w:type="continuationNotice" w:id="1">
    <w:p w14:paraId="6ACA2CFD" w14:textId="77777777" w:rsidR="00AA00FA" w:rsidRDefault="00AA00FA"/>
  </w:footnote>
  <w:footnote w:id="2">
    <w:p w14:paraId="620ED83E" w14:textId="5B25ABE4" w:rsidR="007E1594" w:rsidRDefault="007E1594" w:rsidP="007E1594">
      <w:pPr>
        <w:kinsoku w:val="0"/>
        <w:overflowPunct w:val="0"/>
        <w:ind w:left="72" w:right="144" w:firstLine="648"/>
        <w:textAlignment w:val="baseline"/>
      </w:pPr>
      <w:r w:rsidRPr="009B0F0B">
        <w:rPr>
          <w:rStyle w:val="FootnoteReference"/>
          <w:sz w:val="26"/>
          <w:szCs w:val="26"/>
        </w:rPr>
        <w:footnoteRef/>
      </w:r>
      <w:r w:rsidRPr="009B0F0B">
        <w:rPr>
          <w:sz w:val="26"/>
          <w:szCs w:val="26"/>
        </w:rPr>
        <w:t xml:space="preserve"> </w:t>
      </w:r>
      <w:r w:rsidRPr="009B0F0B">
        <w:rPr>
          <w:sz w:val="26"/>
          <w:szCs w:val="26"/>
        </w:rPr>
        <w:tab/>
      </w:r>
      <w:r w:rsidRPr="00CB6289">
        <w:rPr>
          <w:sz w:val="26"/>
          <w:szCs w:val="26"/>
        </w:rPr>
        <w:t xml:space="preserve">On July 7, 2020, </w:t>
      </w:r>
      <w:r w:rsidRPr="000F4EC9">
        <w:rPr>
          <w:sz w:val="26"/>
          <w:szCs w:val="26"/>
        </w:rPr>
        <w:t xml:space="preserve">the ALJ issued an Initial Decision denying SUN-PA’s Petition to Intervene.  </w:t>
      </w:r>
      <w:r w:rsidRPr="00CB6289">
        <w:rPr>
          <w:sz w:val="26"/>
          <w:szCs w:val="26"/>
        </w:rPr>
        <w:t xml:space="preserve">The Initial Decision became final without further Commission action by operation of law on August 28, 2020.  The ALJ granted all other Petitions to Intervene by a Prehearing Order issued June 23, 2020.  </w:t>
      </w:r>
    </w:p>
  </w:footnote>
  <w:footnote w:id="3">
    <w:p w14:paraId="0C266214" w14:textId="653F981F" w:rsidR="007E1594" w:rsidRPr="00D901B0" w:rsidRDefault="007E1594" w:rsidP="00D901B0">
      <w:pPr>
        <w:pStyle w:val="FootnoteText"/>
        <w:spacing w:line="240" w:lineRule="auto"/>
        <w:jc w:val="left"/>
        <w:rPr>
          <w:sz w:val="26"/>
          <w:szCs w:val="26"/>
        </w:rPr>
      </w:pPr>
      <w:r w:rsidRPr="00D901B0">
        <w:rPr>
          <w:rStyle w:val="FootnoteReference"/>
          <w:sz w:val="26"/>
          <w:szCs w:val="26"/>
        </w:rPr>
        <w:footnoteRef/>
      </w:r>
      <w:r w:rsidRPr="00D901B0">
        <w:rPr>
          <w:sz w:val="26"/>
          <w:szCs w:val="26"/>
        </w:rPr>
        <w:t xml:space="preserve"> </w:t>
      </w:r>
      <w:r w:rsidRPr="00D901B0">
        <w:rPr>
          <w:sz w:val="26"/>
          <w:szCs w:val="26"/>
        </w:rPr>
        <w:tab/>
        <w:t xml:space="preserve">In addition to the Joint Petitioners, I&amp;E, the EGS Parties, Calpine, StateWise, MAREC, and ChargePoint indicated that they do not oppose the Partial Settlement.  </w:t>
      </w:r>
    </w:p>
  </w:footnote>
  <w:footnote w:id="4">
    <w:p w14:paraId="0786AEB8" w14:textId="38184CBE" w:rsidR="007E1594" w:rsidRPr="004D4266" w:rsidRDefault="007E1594" w:rsidP="00D940A1">
      <w:pPr>
        <w:pStyle w:val="FootnoteText"/>
        <w:keepNext/>
        <w:keepLines/>
        <w:spacing w:line="240" w:lineRule="auto"/>
        <w:contextualSpacing/>
        <w:jc w:val="left"/>
        <w:rPr>
          <w:sz w:val="26"/>
          <w:szCs w:val="26"/>
          <w:vertAlign w:val="superscript"/>
        </w:rPr>
      </w:pPr>
      <w:r w:rsidRPr="004D4266">
        <w:rPr>
          <w:rStyle w:val="FootnoteReference"/>
          <w:sz w:val="26"/>
          <w:szCs w:val="26"/>
        </w:rPr>
        <w:footnoteRef/>
      </w:r>
      <w:r w:rsidRPr="004D4266">
        <w:rPr>
          <w:sz w:val="26"/>
          <w:szCs w:val="26"/>
        </w:rPr>
        <w:tab/>
        <w:t>A true and correct copy of the SMA is attached to the Partial Settlement as Appendix C</w:t>
      </w:r>
      <w:r>
        <w:rPr>
          <w:sz w:val="26"/>
          <w:szCs w:val="26"/>
        </w:rPr>
        <w:t>.</w:t>
      </w:r>
    </w:p>
  </w:footnote>
  <w:footnote w:id="5">
    <w:p w14:paraId="54E98B28" w14:textId="1BCF0384" w:rsidR="007E1594" w:rsidRPr="00273E52" w:rsidRDefault="007E1594" w:rsidP="00D940A1">
      <w:pPr>
        <w:pStyle w:val="FootnoteText"/>
        <w:spacing w:line="240" w:lineRule="auto"/>
        <w:jc w:val="left"/>
        <w:rPr>
          <w:sz w:val="26"/>
          <w:szCs w:val="26"/>
          <w:vertAlign w:val="superscript"/>
        </w:rPr>
      </w:pPr>
      <w:r w:rsidRPr="00273E52">
        <w:rPr>
          <w:rStyle w:val="FootnoteReference"/>
          <w:sz w:val="26"/>
          <w:szCs w:val="26"/>
        </w:rPr>
        <w:footnoteRef/>
      </w:r>
      <w:r w:rsidRPr="00273E52">
        <w:rPr>
          <w:sz w:val="26"/>
          <w:szCs w:val="26"/>
        </w:rPr>
        <w:tab/>
        <w:t>The Joint Petitioners agree that this provision of the Partial Settlement is agreed upon without prejudice to the Solar PPA issue reserved for litigation by the Parties</w:t>
      </w:r>
      <w:r>
        <w:rPr>
          <w:sz w:val="26"/>
          <w:szCs w:val="26"/>
        </w:rPr>
        <w:t>.</w:t>
      </w:r>
    </w:p>
  </w:footnote>
  <w:footnote w:id="6">
    <w:p w14:paraId="76C52A38" w14:textId="0C00DFD4" w:rsidR="007E1594" w:rsidRPr="00991B69" w:rsidRDefault="007E1594" w:rsidP="00991B69">
      <w:pPr>
        <w:pStyle w:val="FootnoteText"/>
        <w:spacing w:line="240" w:lineRule="auto"/>
        <w:jc w:val="left"/>
        <w:rPr>
          <w:sz w:val="26"/>
        </w:rPr>
      </w:pPr>
      <w:r w:rsidRPr="00991B69">
        <w:rPr>
          <w:rStyle w:val="FootnoteReference"/>
          <w:sz w:val="26"/>
        </w:rPr>
        <w:footnoteRef/>
      </w:r>
      <w:r w:rsidRPr="00991B69">
        <w:rPr>
          <w:sz w:val="26"/>
        </w:rPr>
        <w:t xml:space="preserve"> </w:t>
      </w:r>
      <w:r w:rsidRPr="00991B69">
        <w:rPr>
          <w:sz w:val="26"/>
        </w:rPr>
        <w:tab/>
        <w:t xml:space="preserve">The FirstEnergy Companies include Metropolitan Edison Company, Pennsylvania Electric Company, Pennsylvania Power Company, and West Penn Power Company.  </w:t>
      </w:r>
    </w:p>
  </w:footnote>
  <w:footnote w:id="7">
    <w:p w14:paraId="5260452B" w14:textId="4D790B40" w:rsidR="007E1594" w:rsidRPr="001935FB" w:rsidRDefault="007E1594" w:rsidP="002B575F">
      <w:pPr>
        <w:pStyle w:val="FootnoteText"/>
        <w:spacing w:line="240" w:lineRule="auto"/>
        <w:jc w:val="left"/>
        <w:rPr>
          <w:sz w:val="26"/>
          <w:szCs w:val="26"/>
        </w:rPr>
      </w:pPr>
      <w:r w:rsidRPr="001935FB">
        <w:rPr>
          <w:rStyle w:val="FootnoteReference"/>
          <w:sz w:val="26"/>
          <w:szCs w:val="26"/>
        </w:rPr>
        <w:footnoteRef/>
      </w:r>
      <w:r w:rsidRPr="001935FB">
        <w:rPr>
          <w:sz w:val="26"/>
          <w:szCs w:val="26"/>
        </w:rPr>
        <w:t xml:space="preserve"> </w:t>
      </w:r>
      <w:r w:rsidRPr="001935FB">
        <w:rPr>
          <w:sz w:val="26"/>
          <w:szCs w:val="26"/>
        </w:rPr>
        <w:tab/>
      </w:r>
      <w:r w:rsidRPr="001935FB">
        <w:rPr>
          <w:rFonts w:eastAsiaTheme="minorEastAsia"/>
          <w:sz w:val="26"/>
          <w:szCs w:val="26"/>
        </w:rPr>
        <w:t>We note here that while the Company submitted details about its solar project proposal in the Direct Testimony of C. James Davis, Duquesne Light St</w:t>
      </w:r>
      <w:r>
        <w:rPr>
          <w:rFonts w:eastAsiaTheme="minorEastAsia"/>
          <w:sz w:val="26"/>
          <w:szCs w:val="26"/>
        </w:rPr>
        <w:t>.</w:t>
      </w:r>
      <w:r w:rsidRPr="001935FB">
        <w:rPr>
          <w:rFonts w:eastAsiaTheme="minorEastAsia"/>
          <w:sz w:val="26"/>
          <w:szCs w:val="26"/>
        </w:rPr>
        <w:t xml:space="preserve"> 1 at</w:t>
      </w:r>
      <w:r w:rsidR="00171FD8">
        <w:rPr>
          <w:rFonts w:eastAsiaTheme="minorEastAsia"/>
          <w:sz w:val="26"/>
          <w:szCs w:val="26"/>
        </w:rPr>
        <w:t> </w:t>
      </w:r>
      <w:r w:rsidRPr="001935FB">
        <w:rPr>
          <w:rFonts w:eastAsiaTheme="minorEastAsia"/>
          <w:sz w:val="26"/>
          <w:szCs w:val="26"/>
        </w:rPr>
        <w:t>13</w:t>
      </w:r>
      <w:r w:rsidR="00171FD8">
        <w:rPr>
          <w:rFonts w:eastAsiaTheme="minorEastAsia"/>
          <w:sz w:val="26"/>
          <w:szCs w:val="26"/>
        </w:rPr>
        <w:noBreakHyphen/>
      </w:r>
      <w:r w:rsidRPr="001935FB">
        <w:rPr>
          <w:rFonts w:eastAsiaTheme="minorEastAsia"/>
          <w:sz w:val="26"/>
          <w:szCs w:val="26"/>
        </w:rPr>
        <w:t xml:space="preserve">17, it did not provide a </w:t>
      </w:r>
      <w:r w:rsidRPr="002B575F">
        <w:rPr>
          <w:rFonts w:eastAsiaTheme="minorEastAsia"/>
          <w:i/>
          <w:iCs/>
          <w:sz w:val="26"/>
          <w:szCs w:val="26"/>
        </w:rPr>
        <w:t>pro forma</w:t>
      </w:r>
      <w:r w:rsidRPr="001935FB">
        <w:rPr>
          <w:rFonts w:eastAsiaTheme="minorEastAsia"/>
          <w:sz w:val="26"/>
          <w:szCs w:val="26"/>
        </w:rPr>
        <w:t xml:space="preserve"> or template agreement for the Solar PPA indicating the terms and conditions of the agreement.  </w:t>
      </w:r>
    </w:p>
  </w:footnote>
  <w:footnote w:id="8">
    <w:p w14:paraId="54711E4B" w14:textId="0E50C47A" w:rsidR="007E1594" w:rsidRPr="001E2AB6" w:rsidRDefault="007E1594" w:rsidP="001E2AB6">
      <w:pPr>
        <w:pStyle w:val="FootnoteText"/>
        <w:spacing w:line="240" w:lineRule="auto"/>
        <w:jc w:val="left"/>
        <w:rPr>
          <w:sz w:val="26"/>
          <w:szCs w:val="26"/>
        </w:rPr>
      </w:pPr>
      <w:r w:rsidRPr="001E2AB6">
        <w:rPr>
          <w:rStyle w:val="FootnoteReference"/>
          <w:sz w:val="26"/>
          <w:szCs w:val="26"/>
        </w:rPr>
        <w:footnoteRef/>
      </w:r>
      <w:r w:rsidRPr="001E2AB6">
        <w:rPr>
          <w:sz w:val="26"/>
          <w:szCs w:val="26"/>
        </w:rPr>
        <w:t xml:space="preserve"> </w:t>
      </w:r>
      <w:r w:rsidRPr="001E2AB6">
        <w:rPr>
          <w:sz w:val="26"/>
          <w:szCs w:val="26"/>
        </w:rPr>
        <w:tab/>
      </w:r>
      <w:r w:rsidRPr="001E2AB6">
        <w:rPr>
          <w:i/>
          <w:iCs/>
          <w:sz w:val="26"/>
          <w:szCs w:val="26"/>
        </w:rPr>
        <w:t>Petition of Metropolitan Edison Company for Approval of a Default Service Program for the Period Beginning June 1, 2019 through May 31, 2023</w:t>
      </w:r>
      <w:r w:rsidRPr="001E2AB6">
        <w:rPr>
          <w:sz w:val="26"/>
          <w:szCs w:val="26"/>
        </w:rPr>
        <w:t>, Docket No. P</w:t>
      </w:r>
      <w:r w:rsidR="00171FD8">
        <w:rPr>
          <w:sz w:val="26"/>
          <w:szCs w:val="26"/>
        </w:rPr>
        <w:noBreakHyphen/>
      </w:r>
      <w:r w:rsidRPr="001E2AB6">
        <w:rPr>
          <w:sz w:val="26"/>
          <w:szCs w:val="26"/>
        </w:rPr>
        <w:t xml:space="preserve">2017-2637855 (Order entered February 28,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F2AA2FA"/>
    <w:lvl w:ilvl="0">
      <w:start w:val="1"/>
      <w:numFmt w:val="decimal"/>
      <w:pStyle w:val="ListNumber"/>
      <w:lvlText w:val="%1."/>
      <w:lvlJc w:val="left"/>
      <w:pPr>
        <w:tabs>
          <w:tab w:val="num" w:pos="720"/>
        </w:tabs>
        <w:ind w:left="0" w:firstLine="720"/>
      </w:pPr>
      <w:rPr>
        <w:rFonts w:hint="default"/>
      </w:rPr>
    </w:lvl>
  </w:abstractNum>
  <w:abstractNum w:abstractNumId="1" w15:restartNumberingAfterBreak="0">
    <w:nsid w:val="01030D59"/>
    <w:multiLevelType w:val="hybridMultilevel"/>
    <w:tmpl w:val="ECCCD60C"/>
    <w:lvl w:ilvl="0" w:tplc="FAC862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4378BF"/>
    <w:multiLevelType w:val="singleLevel"/>
    <w:tmpl w:val="4082A836"/>
    <w:lvl w:ilvl="0">
      <w:start w:val="1"/>
      <w:numFmt w:val="decimal"/>
      <w:lvlText w:val="(%1)"/>
      <w:lvlJc w:val="left"/>
      <w:pPr>
        <w:tabs>
          <w:tab w:val="num" w:pos="2016"/>
        </w:tabs>
        <w:ind w:left="1656"/>
      </w:pPr>
      <w:rPr>
        <w:snapToGrid/>
        <w:sz w:val="24"/>
        <w:szCs w:val="24"/>
      </w:rPr>
    </w:lvl>
  </w:abstractNum>
  <w:abstractNum w:abstractNumId="3" w15:restartNumberingAfterBreak="0">
    <w:nsid w:val="02FE03A3"/>
    <w:multiLevelType w:val="hybridMultilevel"/>
    <w:tmpl w:val="33E44350"/>
    <w:lvl w:ilvl="0" w:tplc="C53E6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9CFD79"/>
    <w:multiLevelType w:val="singleLevel"/>
    <w:tmpl w:val="3061489B"/>
    <w:lvl w:ilvl="0">
      <w:start w:val="1"/>
      <w:numFmt w:val="lowerRoman"/>
      <w:lvlText w:val="%1."/>
      <w:lvlJc w:val="left"/>
      <w:pPr>
        <w:tabs>
          <w:tab w:val="num" w:pos="2232"/>
        </w:tabs>
        <w:ind w:left="2232" w:hanging="648"/>
      </w:pPr>
      <w:rPr>
        <w:snapToGrid/>
        <w:sz w:val="24"/>
        <w:szCs w:val="24"/>
      </w:rPr>
    </w:lvl>
  </w:abstractNum>
  <w:abstractNum w:abstractNumId="5" w15:restartNumberingAfterBreak="0">
    <w:nsid w:val="04EEE8DD"/>
    <w:multiLevelType w:val="singleLevel"/>
    <w:tmpl w:val="A944194A"/>
    <w:lvl w:ilvl="0">
      <w:start w:val="1"/>
      <w:numFmt w:val="lowerLetter"/>
      <w:lvlText w:val="%1."/>
      <w:lvlJc w:val="left"/>
      <w:pPr>
        <w:tabs>
          <w:tab w:val="num" w:pos="2304"/>
        </w:tabs>
        <w:ind w:left="1584"/>
      </w:pPr>
      <w:rPr>
        <w:snapToGrid/>
        <w:sz w:val="26"/>
        <w:szCs w:val="26"/>
      </w:rPr>
    </w:lvl>
  </w:abstractNum>
  <w:abstractNum w:abstractNumId="6" w15:restartNumberingAfterBreak="0">
    <w:nsid w:val="05202F34"/>
    <w:multiLevelType w:val="singleLevel"/>
    <w:tmpl w:val="3FE0E751"/>
    <w:lvl w:ilvl="0">
      <w:start w:val="1"/>
      <w:numFmt w:val="lowerRoman"/>
      <w:lvlText w:val="%1."/>
      <w:lvlJc w:val="left"/>
      <w:pPr>
        <w:tabs>
          <w:tab w:val="num" w:pos="2232"/>
        </w:tabs>
        <w:ind w:left="2232" w:hanging="576"/>
      </w:pPr>
      <w:rPr>
        <w:snapToGrid/>
        <w:sz w:val="24"/>
        <w:szCs w:val="24"/>
      </w:rPr>
    </w:lvl>
  </w:abstractNum>
  <w:abstractNum w:abstractNumId="7" w15:restartNumberingAfterBreak="0">
    <w:nsid w:val="054BC057"/>
    <w:multiLevelType w:val="singleLevel"/>
    <w:tmpl w:val="6D871EC9"/>
    <w:lvl w:ilvl="0">
      <w:start w:val="1"/>
      <w:numFmt w:val="decimal"/>
      <w:lvlText w:val="%1."/>
      <w:lvlJc w:val="left"/>
      <w:pPr>
        <w:tabs>
          <w:tab w:val="num" w:pos="2304"/>
        </w:tabs>
        <w:ind w:left="144" w:firstLine="1440"/>
      </w:pPr>
      <w:rPr>
        <w:snapToGrid/>
        <w:sz w:val="24"/>
        <w:szCs w:val="24"/>
      </w:rPr>
    </w:lvl>
  </w:abstractNum>
  <w:abstractNum w:abstractNumId="8" w15:restartNumberingAfterBreak="0">
    <w:nsid w:val="06BF9422"/>
    <w:multiLevelType w:val="singleLevel"/>
    <w:tmpl w:val="5B45E164"/>
    <w:lvl w:ilvl="0">
      <w:start w:val="6"/>
      <w:numFmt w:val="decimal"/>
      <w:lvlText w:val="(%1)"/>
      <w:lvlJc w:val="left"/>
      <w:pPr>
        <w:tabs>
          <w:tab w:val="num" w:pos="2016"/>
        </w:tabs>
        <w:ind w:left="1584"/>
      </w:pPr>
      <w:rPr>
        <w:snapToGrid/>
        <w:sz w:val="24"/>
        <w:szCs w:val="24"/>
      </w:rPr>
    </w:lvl>
  </w:abstractNum>
  <w:abstractNum w:abstractNumId="9" w15:restartNumberingAfterBreak="0">
    <w:nsid w:val="0743C446"/>
    <w:multiLevelType w:val="singleLevel"/>
    <w:tmpl w:val="4A3F146F"/>
    <w:lvl w:ilvl="0">
      <w:start w:val="1"/>
      <w:numFmt w:val="upperRoman"/>
      <w:lvlText w:val="%1."/>
      <w:lvlJc w:val="left"/>
      <w:pPr>
        <w:tabs>
          <w:tab w:val="num" w:pos="3024"/>
        </w:tabs>
        <w:ind w:left="3024" w:hanging="648"/>
      </w:pPr>
      <w:rPr>
        <w:snapToGrid/>
        <w:sz w:val="24"/>
        <w:szCs w:val="24"/>
      </w:rPr>
    </w:lvl>
  </w:abstractNum>
  <w:abstractNum w:abstractNumId="10" w15:restartNumberingAfterBreak="0">
    <w:nsid w:val="07B31C4E"/>
    <w:multiLevelType w:val="singleLevel"/>
    <w:tmpl w:val="4EAD16C7"/>
    <w:lvl w:ilvl="0">
      <w:numFmt w:val="bullet"/>
      <w:lvlText w:val="·"/>
      <w:lvlJc w:val="left"/>
      <w:pPr>
        <w:tabs>
          <w:tab w:val="num" w:pos="1656"/>
        </w:tabs>
        <w:ind w:left="936"/>
      </w:pPr>
      <w:rPr>
        <w:rFonts w:ascii="Symbol" w:hAnsi="Symbol" w:cs="Symbol"/>
        <w:b/>
        <w:bCs/>
        <w:snapToGrid/>
        <w:sz w:val="24"/>
        <w:szCs w:val="24"/>
      </w:rPr>
    </w:lvl>
  </w:abstractNum>
  <w:abstractNum w:abstractNumId="11" w15:restartNumberingAfterBreak="0">
    <w:nsid w:val="0C944656"/>
    <w:multiLevelType w:val="hybridMultilevel"/>
    <w:tmpl w:val="A5CE76BE"/>
    <w:lvl w:ilvl="0" w:tplc="253CC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952246"/>
    <w:multiLevelType w:val="multilevel"/>
    <w:tmpl w:val="37EA6216"/>
    <w:name w:val=" Numbered List3"/>
    <w:lvl w:ilvl="0">
      <w:start w:val="1"/>
      <w:numFmt w:val="upperRoman"/>
      <w:lvlText w:val="%1."/>
      <w:lvlJc w:val="left"/>
      <w:pPr>
        <w:tabs>
          <w:tab w:val="num" w:pos="720"/>
        </w:tabs>
        <w:ind w:left="720" w:hanging="720"/>
      </w:pPr>
      <w:rPr>
        <w:caps w:val="0"/>
        <w:color w:val="010000"/>
        <w:u w:val="none"/>
      </w:rPr>
    </w:lvl>
    <w:lvl w:ilvl="1">
      <w:start w:val="1"/>
      <w:numFmt w:val="upperLetter"/>
      <w:lvlText w:val="%2."/>
      <w:lvlJc w:val="left"/>
      <w:pPr>
        <w:tabs>
          <w:tab w:val="num" w:pos="1350"/>
        </w:tabs>
        <w:ind w:left="1350" w:hanging="720"/>
      </w:pPr>
      <w:rPr>
        <w:caps w:val="0"/>
        <w:color w:val="010000"/>
        <w:u w:val="none"/>
      </w:rPr>
    </w:lvl>
    <w:lvl w:ilvl="2">
      <w:start w:val="1"/>
      <w:numFmt w:val="decimal"/>
      <w:lvlText w:val="%3."/>
      <w:lvlJc w:val="left"/>
      <w:pPr>
        <w:tabs>
          <w:tab w:val="num" w:pos="2160"/>
        </w:tabs>
        <w:ind w:left="2160" w:hanging="720"/>
      </w:pPr>
      <w:rPr>
        <w:caps w:val="0"/>
        <w:color w:val="010000"/>
        <w:u w:val="none"/>
      </w:rPr>
    </w:lvl>
    <w:lvl w:ilvl="3">
      <w:start w:val="1"/>
      <w:numFmt w:val="lowerLetter"/>
      <w:lvlText w:val="%4."/>
      <w:lvlJc w:val="left"/>
      <w:pPr>
        <w:tabs>
          <w:tab w:val="num" w:pos="2880"/>
        </w:tabs>
        <w:ind w:left="2880" w:hanging="720"/>
      </w:pPr>
      <w:rPr>
        <w:caps w:val="0"/>
        <w:color w:val="010000"/>
        <w:u w:val="none"/>
      </w:rPr>
    </w:lvl>
    <w:lvl w:ilvl="4">
      <w:start w:val="1"/>
      <w:numFmt w:val="lowerRoman"/>
      <w:lvlText w:val="%5."/>
      <w:lvlJc w:val="left"/>
      <w:pPr>
        <w:tabs>
          <w:tab w:val="num" w:pos="3600"/>
        </w:tabs>
        <w:ind w:left="3600" w:hanging="720"/>
      </w:pPr>
      <w:rPr>
        <w:caps w:val="0"/>
        <w:color w:val="010000"/>
        <w:u w:val="none"/>
      </w:rPr>
    </w:lvl>
    <w:lvl w:ilvl="5">
      <w:start w:val="1"/>
      <w:numFmt w:val="upperLetter"/>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3" w15:restartNumberingAfterBreak="0">
    <w:nsid w:val="215B4615"/>
    <w:multiLevelType w:val="hybridMultilevel"/>
    <w:tmpl w:val="58FC1D84"/>
    <w:lvl w:ilvl="0" w:tplc="AD643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167D4"/>
    <w:multiLevelType w:val="multilevel"/>
    <w:tmpl w:val="2EEC7FE8"/>
    <w:lvl w:ilvl="0">
      <w:start w:val="49"/>
      <w:numFmt w:val="decimal"/>
      <w:lvlText w:val="%1."/>
      <w:lvlJc w:val="left"/>
      <w:pPr>
        <w:tabs>
          <w:tab w:val="left" w:pos="720"/>
        </w:tabs>
        <w:ind w:left="720"/>
      </w:pPr>
      <w:rPr>
        <w:rFonts w:ascii="Times New Roman" w:eastAsia="Times New Roman" w:hAnsi="Times New Roman"/>
        <w:strike w:val="0"/>
        <w:color w:val="000000"/>
        <w:spacing w:val="3"/>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46683C"/>
    <w:multiLevelType w:val="hybridMultilevel"/>
    <w:tmpl w:val="B80C3FEA"/>
    <w:lvl w:ilvl="0" w:tplc="60784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B24741"/>
    <w:multiLevelType w:val="hybridMultilevel"/>
    <w:tmpl w:val="F2CCFC7E"/>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2232AD9"/>
    <w:multiLevelType w:val="hybridMultilevel"/>
    <w:tmpl w:val="E58E2D10"/>
    <w:lvl w:ilvl="0" w:tplc="6E32DE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AB4873"/>
    <w:multiLevelType w:val="hybridMultilevel"/>
    <w:tmpl w:val="A6BE74BA"/>
    <w:lvl w:ilvl="0" w:tplc="B42A42D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3106DE"/>
    <w:multiLevelType w:val="hybridMultilevel"/>
    <w:tmpl w:val="80D27BD2"/>
    <w:lvl w:ilvl="0" w:tplc="98AA57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5B68AF"/>
    <w:multiLevelType w:val="hybridMultilevel"/>
    <w:tmpl w:val="149CF94C"/>
    <w:lvl w:ilvl="0" w:tplc="3A2293A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E63B99"/>
    <w:multiLevelType w:val="hybridMultilevel"/>
    <w:tmpl w:val="21A2AE62"/>
    <w:lvl w:ilvl="0" w:tplc="B7AE33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62AB3"/>
    <w:multiLevelType w:val="multilevel"/>
    <w:tmpl w:val="EDB4C766"/>
    <w:lvl w:ilvl="0">
      <w:start w:val="39"/>
      <w:numFmt w:val="decimal"/>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413288"/>
    <w:multiLevelType w:val="hybridMultilevel"/>
    <w:tmpl w:val="3976E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B03D4"/>
    <w:multiLevelType w:val="multilevel"/>
    <w:tmpl w:val="A5240054"/>
    <w:name w:val="zzmpOutline||Outline|2|3|1|1|2|41||1|4|0||1|4|0||1|4|1||1|4|0||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1"/>
      <w:numFmt w:val="decimal"/>
      <w:lvlRestart w:val="0"/>
      <w:pStyle w:val="OutlineL2"/>
      <w:lvlText w:val="%2."/>
      <w:lvlJc w:val="left"/>
      <w:pPr>
        <w:tabs>
          <w:tab w:val="num" w:pos="1800"/>
        </w:tabs>
        <w:ind w:left="360" w:firstLine="720"/>
      </w:pPr>
      <w:rPr>
        <w:rFonts w:ascii="Times New Roman" w:hAnsi="Times New Roman" w:cs="Times New Roman" w:hint="default"/>
        <w:b w:val="0"/>
        <w:i w:val="0"/>
        <w:caps w:val="0"/>
        <w:strike w:val="0"/>
        <w:dstrike w:val="0"/>
        <w:sz w:val="24"/>
        <w:u w:val="none"/>
        <w:effect w:val="none"/>
      </w:rPr>
    </w:lvl>
    <w:lvl w:ilvl="2">
      <w:start w:val="1"/>
      <w:numFmt w:val="upperLetter"/>
      <w:pStyle w:val="OutlineL3"/>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25" w15:restartNumberingAfterBreak="0">
    <w:nsid w:val="4BB52E2C"/>
    <w:multiLevelType w:val="hybridMultilevel"/>
    <w:tmpl w:val="540E142A"/>
    <w:lvl w:ilvl="0" w:tplc="491E8D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796390"/>
    <w:multiLevelType w:val="hybridMultilevel"/>
    <w:tmpl w:val="A47224D4"/>
    <w:lvl w:ilvl="0" w:tplc="C38EB4FC">
      <w:start w:val="1"/>
      <w:numFmt w:val="upperLetter"/>
      <w:lvlText w:val="%1."/>
      <w:lvlJc w:val="left"/>
      <w:pPr>
        <w:ind w:left="1350" w:hanging="360"/>
      </w:pPr>
      <w:rPr>
        <w:b/>
        <w:bCs/>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6C32D95"/>
    <w:multiLevelType w:val="hybridMultilevel"/>
    <w:tmpl w:val="BE7898E2"/>
    <w:lvl w:ilvl="0" w:tplc="27D6BE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C64367"/>
    <w:multiLevelType w:val="multilevel"/>
    <w:tmpl w:val="413C2F78"/>
    <w:lvl w:ilvl="0">
      <w:start w:val="1"/>
      <w:numFmt w:val="lowerLetter"/>
      <w:lvlText w:val="(%1)"/>
      <w:lvlJc w:val="left"/>
      <w:pPr>
        <w:tabs>
          <w:tab w:val="left" w:pos="2088"/>
        </w:tabs>
        <w:ind w:left="216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3D1573"/>
    <w:multiLevelType w:val="hybridMultilevel"/>
    <w:tmpl w:val="C18EF138"/>
    <w:lvl w:ilvl="0" w:tplc="91B08426">
      <w:start w:val="1"/>
      <w:numFmt w:val="decimal"/>
      <w:pStyle w:val="Heading3"/>
      <w:lvlText w:val="%1."/>
      <w:lvlJc w:val="left"/>
      <w:pPr>
        <w:ind w:left="18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506947"/>
    <w:multiLevelType w:val="hybridMultilevel"/>
    <w:tmpl w:val="D2661082"/>
    <w:lvl w:ilvl="0" w:tplc="C58AF6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2E72BC"/>
    <w:multiLevelType w:val="hybridMultilevel"/>
    <w:tmpl w:val="675E15BC"/>
    <w:lvl w:ilvl="0" w:tplc="174039EA">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87037F"/>
    <w:multiLevelType w:val="hybridMultilevel"/>
    <w:tmpl w:val="B4607B4E"/>
    <w:lvl w:ilvl="0" w:tplc="0409000F">
      <w:start w:val="1"/>
      <w:numFmt w:val="decimal"/>
      <w:lvlText w:val="%1."/>
      <w:lvlJc w:val="left"/>
      <w:pPr>
        <w:ind w:left="1260" w:hanging="360"/>
      </w:pPr>
      <w:rPr>
        <w:b/>
        <w:bCs/>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D8C5184"/>
    <w:multiLevelType w:val="hybridMultilevel"/>
    <w:tmpl w:val="7110F802"/>
    <w:lvl w:ilvl="0" w:tplc="DD34B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586987"/>
    <w:multiLevelType w:val="hybridMultilevel"/>
    <w:tmpl w:val="98AEEA18"/>
    <w:lvl w:ilvl="0" w:tplc="19902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0C1FB3"/>
    <w:multiLevelType w:val="hybridMultilevel"/>
    <w:tmpl w:val="9E3E1A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4E7DC8"/>
    <w:multiLevelType w:val="hybridMultilevel"/>
    <w:tmpl w:val="6D90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B493A"/>
    <w:multiLevelType w:val="hybridMultilevel"/>
    <w:tmpl w:val="82A69E6C"/>
    <w:lvl w:ilvl="0" w:tplc="DBE440CC">
      <w:start w:val="1"/>
      <w:numFmt w:val="decimal"/>
      <w:lvlText w:val="%1."/>
      <w:lvlJc w:val="left"/>
      <w:pPr>
        <w:ind w:left="1260" w:hanging="360"/>
      </w:pPr>
      <w:rPr>
        <w:b/>
        <w:bCs/>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9DC5072"/>
    <w:multiLevelType w:val="hybridMultilevel"/>
    <w:tmpl w:val="F5D22FB8"/>
    <w:lvl w:ilvl="0" w:tplc="9D66CF16">
      <w:start w:val="1"/>
      <w:numFmt w:val="lowerLetter"/>
      <w:lvlText w:val="%1."/>
      <w:lvlJc w:val="left"/>
      <w:pPr>
        <w:ind w:left="1800" w:hanging="360"/>
      </w:pPr>
      <w:rPr>
        <w:rFonts w:hint="default"/>
      </w:rPr>
    </w:lvl>
    <w:lvl w:ilvl="1" w:tplc="2BE0828E">
      <w:start w:val="1"/>
      <w:numFmt w:val="decimal"/>
      <w:lvlText w:val="%2."/>
      <w:lvlJc w:val="left"/>
      <w:pPr>
        <w:ind w:left="2055" w:hanging="525"/>
      </w:pPr>
      <w:rPr>
        <w:rFonts w:hint="default"/>
        <w:b w:val="0"/>
        <w:b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746E54"/>
    <w:multiLevelType w:val="hybridMultilevel"/>
    <w:tmpl w:val="617EBACC"/>
    <w:lvl w:ilvl="0" w:tplc="C3AC2C3C">
      <w:start w:val="1"/>
      <w:numFmt w:val="upperRoman"/>
      <w:pStyle w:val="Heading1"/>
      <w:lvlText w:val="%1."/>
      <w:lvlJc w:val="left"/>
      <w:pPr>
        <w:ind w:left="43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F7C20"/>
    <w:multiLevelType w:val="hybridMultilevel"/>
    <w:tmpl w:val="368CFD98"/>
    <w:lvl w:ilvl="0" w:tplc="C2468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0"/>
  </w:num>
  <w:num w:numId="3">
    <w:abstractNumId w:val="24"/>
  </w:num>
  <w:num w:numId="4">
    <w:abstractNumId w:val="38"/>
  </w:num>
  <w:num w:numId="5">
    <w:abstractNumId w:val="6"/>
  </w:num>
  <w:num w:numId="6">
    <w:abstractNumId w:val="6"/>
    <w:lvlOverride w:ilvl="0">
      <w:lvl w:ilvl="0">
        <w:numFmt w:val="lowerRoman"/>
        <w:lvlText w:val="%1."/>
        <w:lvlJc w:val="left"/>
        <w:pPr>
          <w:tabs>
            <w:tab w:val="num" w:pos="2232"/>
          </w:tabs>
          <w:ind w:left="2232" w:hanging="576"/>
        </w:pPr>
        <w:rPr>
          <w:snapToGrid/>
          <w:sz w:val="24"/>
          <w:szCs w:val="24"/>
        </w:rPr>
      </w:lvl>
    </w:lvlOverride>
  </w:num>
  <w:num w:numId="7">
    <w:abstractNumId w:val="4"/>
  </w:num>
  <w:num w:numId="8">
    <w:abstractNumId w:val="9"/>
  </w:num>
  <w:num w:numId="9">
    <w:abstractNumId w:val="9"/>
    <w:lvlOverride w:ilvl="0">
      <w:lvl w:ilvl="0">
        <w:numFmt w:val="upperRoman"/>
        <w:lvlText w:val="%1."/>
        <w:lvlJc w:val="left"/>
        <w:pPr>
          <w:tabs>
            <w:tab w:val="num" w:pos="3024"/>
          </w:tabs>
          <w:ind w:left="3024" w:hanging="648"/>
        </w:pPr>
        <w:rPr>
          <w:snapToGrid/>
          <w:sz w:val="24"/>
          <w:szCs w:val="24"/>
        </w:rPr>
      </w:lvl>
    </w:lvlOverride>
  </w:num>
  <w:num w:numId="10">
    <w:abstractNumId w:val="3"/>
  </w:num>
  <w:num w:numId="11">
    <w:abstractNumId w:val="2"/>
  </w:num>
  <w:num w:numId="12">
    <w:abstractNumId w:val="8"/>
  </w:num>
  <w:num w:numId="13">
    <w:abstractNumId w:val="5"/>
  </w:num>
  <w:num w:numId="14">
    <w:abstractNumId w:val="29"/>
  </w:num>
  <w:num w:numId="15">
    <w:abstractNumId w:val="28"/>
  </w:num>
  <w:num w:numId="16">
    <w:abstractNumId w:val="22"/>
  </w:num>
  <w:num w:numId="17">
    <w:abstractNumId w:val="14"/>
  </w:num>
  <w:num w:numId="18">
    <w:abstractNumId w:val="16"/>
  </w:num>
  <w:num w:numId="19">
    <w:abstractNumId w:val="26"/>
  </w:num>
  <w:num w:numId="20">
    <w:abstractNumId w:val="37"/>
  </w:num>
  <w:num w:numId="21">
    <w:abstractNumId w:val="32"/>
  </w:num>
  <w:num w:numId="22">
    <w:abstractNumId w:val="40"/>
  </w:num>
  <w:num w:numId="23">
    <w:abstractNumId w:val="31"/>
  </w:num>
  <w:num w:numId="24">
    <w:abstractNumId w:val="27"/>
  </w:num>
  <w:num w:numId="25">
    <w:abstractNumId w:val="33"/>
  </w:num>
  <w:num w:numId="26">
    <w:abstractNumId w:val="19"/>
  </w:num>
  <w:num w:numId="27">
    <w:abstractNumId w:val="25"/>
  </w:num>
  <w:num w:numId="28">
    <w:abstractNumId w:val="10"/>
  </w:num>
  <w:num w:numId="29">
    <w:abstractNumId w:val="21"/>
  </w:num>
  <w:num w:numId="30">
    <w:abstractNumId w:val="11"/>
  </w:num>
  <w:num w:numId="31">
    <w:abstractNumId w:val="15"/>
  </w:num>
  <w:num w:numId="32">
    <w:abstractNumId w:val="34"/>
  </w:num>
  <w:num w:numId="33">
    <w:abstractNumId w:val="13"/>
  </w:num>
  <w:num w:numId="34">
    <w:abstractNumId w:val="17"/>
  </w:num>
  <w:num w:numId="35">
    <w:abstractNumId w:val="30"/>
  </w:num>
  <w:num w:numId="36">
    <w:abstractNumId w:val="35"/>
  </w:num>
  <w:num w:numId="37">
    <w:abstractNumId w:val="1"/>
  </w:num>
  <w:num w:numId="38">
    <w:abstractNumId w:val="20"/>
  </w:num>
  <w:num w:numId="39">
    <w:abstractNumId w:val="18"/>
  </w:num>
  <w:num w:numId="40">
    <w:abstractNumId w:val="7"/>
  </w:num>
  <w:num w:numId="41">
    <w:abstractNumId w:val="29"/>
    <w:lvlOverride w:ilvl="0">
      <w:startOverride w:val="1"/>
    </w:lvlOverride>
  </w:num>
  <w:num w:numId="42">
    <w:abstractNumId w:val="31"/>
    <w:lvlOverride w:ilvl="0">
      <w:startOverride w:val="1"/>
    </w:lvlOverride>
  </w:num>
  <w:num w:numId="43">
    <w:abstractNumId w:val="29"/>
    <w:lvlOverride w:ilvl="0">
      <w:startOverride w:val="1"/>
    </w:lvlOverride>
  </w:num>
  <w:num w:numId="44">
    <w:abstractNumId w:val="29"/>
    <w:lvlOverride w:ilvl="0">
      <w:startOverride w:val="1"/>
    </w:lvlOverride>
  </w:num>
  <w:num w:numId="45">
    <w:abstractNumId w:val="31"/>
    <w:lvlOverride w:ilvl="0">
      <w:startOverride w:val="1"/>
    </w:lvlOverride>
  </w:num>
  <w:num w:numId="46">
    <w:abstractNumId w:val="31"/>
    <w:lvlOverride w:ilvl="0">
      <w:startOverride w:val="1"/>
    </w:lvlOverride>
  </w:num>
  <w:num w:numId="47">
    <w:abstractNumId w:val="29"/>
    <w:lvlOverride w:ilvl="0">
      <w:startOverride w:val="1"/>
    </w:lvlOverride>
  </w:num>
  <w:num w:numId="48">
    <w:abstractNumId w:val="31"/>
    <w:lvlOverride w:ilvl="0">
      <w:startOverride w:val="1"/>
    </w:lvlOverride>
  </w:num>
  <w:num w:numId="49">
    <w:abstractNumId w:val="23"/>
  </w:num>
  <w:num w:numId="50">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71"/>
    <w:rsid w:val="000002B8"/>
    <w:rsid w:val="00000BCA"/>
    <w:rsid w:val="00001F29"/>
    <w:rsid w:val="00002471"/>
    <w:rsid w:val="00002BE6"/>
    <w:rsid w:val="00002E13"/>
    <w:rsid w:val="00002FF3"/>
    <w:rsid w:val="00003232"/>
    <w:rsid w:val="000032A1"/>
    <w:rsid w:val="000033E8"/>
    <w:rsid w:val="0000389F"/>
    <w:rsid w:val="000040FD"/>
    <w:rsid w:val="000042C8"/>
    <w:rsid w:val="000042D5"/>
    <w:rsid w:val="00004B7A"/>
    <w:rsid w:val="0000555E"/>
    <w:rsid w:val="00005BBA"/>
    <w:rsid w:val="00005BF7"/>
    <w:rsid w:val="00005E45"/>
    <w:rsid w:val="000069AF"/>
    <w:rsid w:val="00007E0C"/>
    <w:rsid w:val="000109CB"/>
    <w:rsid w:val="00010C1D"/>
    <w:rsid w:val="000114A0"/>
    <w:rsid w:val="000115C9"/>
    <w:rsid w:val="00011732"/>
    <w:rsid w:val="00011831"/>
    <w:rsid w:val="0001197F"/>
    <w:rsid w:val="00012A78"/>
    <w:rsid w:val="00012F65"/>
    <w:rsid w:val="00012F80"/>
    <w:rsid w:val="000135D0"/>
    <w:rsid w:val="0001363B"/>
    <w:rsid w:val="000137E2"/>
    <w:rsid w:val="00013E3E"/>
    <w:rsid w:val="00014D48"/>
    <w:rsid w:val="0001524E"/>
    <w:rsid w:val="0001525B"/>
    <w:rsid w:val="00017438"/>
    <w:rsid w:val="000178A1"/>
    <w:rsid w:val="00017F8B"/>
    <w:rsid w:val="00017FF9"/>
    <w:rsid w:val="00020135"/>
    <w:rsid w:val="00021361"/>
    <w:rsid w:val="00022C51"/>
    <w:rsid w:val="000230D5"/>
    <w:rsid w:val="00023A98"/>
    <w:rsid w:val="00023F50"/>
    <w:rsid w:val="000240CA"/>
    <w:rsid w:val="000241A0"/>
    <w:rsid w:val="0002466C"/>
    <w:rsid w:val="0002484F"/>
    <w:rsid w:val="00024980"/>
    <w:rsid w:val="000249C3"/>
    <w:rsid w:val="00026D34"/>
    <w:rsid w:val="0002718E"/>
    <w:rsid w:val="00027735"/>
    <w:rsid w:val="000307D8"/>
    <w:rsid w:val="000307F1"/>
    <w:rsid w:val="00030E0D"/>
    <w:rsid w:val="0003118F"/>
    <w:rsid w:val="000319B5"/>
    <w:rsid w:val="00032401"/>
    <w:rsid w:val="00032CD6"/>
    <w:rsid w:val="00033624"/>
    <w:rsid w:val="0003463E"/>
    <w:rsid w:val="0003497E"/>
    <w:rsid w:val="00034A9C"/>
    <w:rsid w:val="00035180"/>
    <w:rsid w:val="0003609B"/>
    <w:rsid w:val="000369A2"/>
    <w:rsid w:val="000371DD"/>
    <w:rsid w:val="00037386"/>
    <w:rsid w:val="0003756D"/>
    <w:rsid w:val="00037AC2"/>
    <w:rsid w:val="000429CE"/>
    <w:rsid w:val="00043F88"/>
    <w:rsid w:val="00044B25"/>
    <w:rsid w:val="00044B46"/>
    <w:rsid w:val="00044D25"/>
    <w:rsid w:val="000450BE"/>
    <w:rsid w:val="000451B5"/>
    <w:rsid w:val="000455F2"/>
    <w:rsid w:val="0004589F"/>
    <w:rsid w:val="00045EBE"/>
    <w:rsid w:val="00046456"/>
    <w:rsid w:val="00046A6B"/>
    <w:rsid w:val="00047358"/>
    <w:rsid w:val="000473D0"/>
    <w:rsid w:val="00047A62"/>
    <w:rsid w:val="00050538"/>
    <w:rsid w:val="00050553"/>
    <w:rsid w:val="00050605"/>
    <w:rsid w:val="00050670"/>
    <w:rsid w:val="0005068A"/>
    <w:rsid w:val="00050C9E"/>
    <w:rsid w:val="00050CE5"/>
    <w:rsid w:val="0005162B"/>
    <w:rsid w:val="00051929"/>
    <w:rsid w:val="00051B52"/>
    <w:rsid w:val="00051DCE"/>
    <w:rsid w:val="000522F9"/>
    <w:rsid w:val="00052737"/>
    <w:rsid w:val="0005324C"/>
    <w:rsid w:val="00055439"/>
    <w:rsid w:val="00056181"/>
    <w:rsid w:val="00056232"/>
    <w:rsid w:val="0005648F"/>
    <w:rsid w:val="000575DD"/>
    <w:rsid w:val="00057BF1"/>
    <w:rsid w:val="0006001C"/>
    <w:rsid w:val="00060E9F"/>
    <w:rsid w:val="00060FDB"/>
    <w:rsid w:val="000613A6"/>
    <w:rsid w:val="00062335"/>
    <w:rsid w:val="000630BE"/>
    <w:rsid w:val="000643AC"/>
    <w:rsid w:val="0006520A"/>
    <w:rsid w:val="0006609F"/>
    <w:rsid w:val="0006697E"/>
    <w:rsid w:val="00067E22"/>
    <w:rsid w:val="00067F20"/>
    <w:rsid w:val="000705FB"/>
    <w:rsid w:val="00070865"/>
    <w:rsid w:val="00070908"/>
    <w:rsid w:val="00070F65"/>
    <w:rsid w:val="00071239"/>
    <w:rsid w:val="00072431"/>
    <w:rsid w:val="00072D2C"/>
    <w:rsid w:val="00073A55"/>
    <w:rsid w:val="00073B1A"/>
    <w:rsid w:val="00074097"/>
    <w:rsid w:val="000753DD"/>
    <w:rsid w:val="0007647C"/>
    <w:rsid w:val="00076DB7"/>
    <w:rsid w:val="00080400"/>
    <w:rsid w:val="000816B5"/>
    <w:rsid w:val="00081771"/>
    <w:rsid w:val="000817A0"/>
    <w:rsid w:val="000819D3"/>
    <w:rsid w:val="00084679"/>
    <w:rsid w:val="0008517A"/>
    <w:rsid w:val="00086A15"/>
    <w:rsid w:val="000873BC"/>
    <w:rsid w:val="00087903"/>
    <w:rsid w:val="00090764"/>
    <w:rsid w:val="00090DAD"/>
    <w:rsid w:val="00091073"/>
    <w:rsid w:val="00091597"/>
    <w:rsid w:val="0009176B"/>
    <w:rsid w:val="0009260D"/>
    <w:rsid w:val="00092838"/>
    <w:rsid w:val="00092AEC"/>
    <w:rsid w:val="00092B1B"/>
    <w:rsid w:val="00093983"/>
    <w:rsid w:val="00093D70"/>
    <w:rsid w:val="00093D82"/>
    <w:rsid w:val="000950E0"/>
    <w:rsid w:val="000951C7"/>
    <w:rsid w:val="0009555B"/>
    <w:rsid w:val="000960E0"/>
    <w:rsid w:val="00096115"/>
    <w:rsid w:val="000962A3"/>
    <w:rsid w:val="00096C16"/>
    <w:rsid w:val="00096C8A"/>
    <w:rsid w:val="00097BAE"/>
    <w:rsid w:val="00097D3A"/>
    <w:rsid w:val="00097FE9"/>
    <w:rsid w:val="000A12B1"/>
    <w:rsid w:val="000A1A63"/>
    <w:rsid w:val="000A1CB4"/>
    <w:rsid w:val="000A3065"/>
    <w:rsid w:val="000A30DD"/>
    <w:rsid w:val="000A3157"/>
    <w:rsid w:val="000A33EA"/>
    <w:rsid w:val="000A3979"/>
    <w:rsid w:val="000A436A"/>
    <w:rsid w:val="000A44FA"/>
    <w:rsid w:val="000A4679"/>
    <w:rsid w:val="000A4B4D"/>
    <w:rsid w:val="000A5C51"/>
    <w:rsid w:val="000A605A"/>
    <w:rsid w:val="000A68EF"/>
    <w:rsid w:val="000A6E00"/>
    <w:rsid w:val="000A6F9C"/>
    <w:rsid w:val="000A7F7C"/>
    <w:rsid w:val="000B0C59"/>
    <w:rsid w:val="000B1443"/>
    <w:rsid w:val="000B186C"/>
    <w:rsid w:val="000B2DAB"/>
    <w:rsid w:val="000B40D2"/>
    <w:rsid w:val="000B4C13"/>
    <w:rsid w:val="000B4ED4"/>
    <w:rsid w:val="000B5C10"/>
    <w:rsid w:val="000B5C67"/>
    <w:rsid w:val="000B5D92"/>
    <w:rsid w:val="000B5F41"/>
    <w:rsid w:val="000B61B0"/>
    <w:rsid w:val="000B68EC"/>
    <w:rsid w:val="000B7517"/>
    <w:rsid w:val="000B7630"/>
    <w:rsid w:val="000B7B26"/>
    <w:rsid w:val="000B7D0C"/>
    <w:rsid w:val="000B7FDC"/>
    <w:rsid w:val="000C084D"/>
    <w:rsid w:val="000C093C"/>
    <w:rsid w:val="000C0C63"/>
    <w:rsid w:val="000C1690"/>
    <w:rsid w:val="000C1F1A"/>
    <w:rsid w:val="000C2EE6"/>
    <w:rsid w:val="000C2F7A"/>
    <w:rsid w:val="000C34E4"/>
    <w:rsid w:val="000C356C"/>
    <w:rsid w:val="000C3842"/>
    <w:rsid w:val="000C42CB"/>
    <w:rsid w:val="000C43C7"/>
    <w:rsid w:val="000C464D"/>
    <w:rsid w:val="000C5FC7"/>
    <w:rsid w:val="000C739D"/>
    <w:rsid w:val="000C7DF3"/>
    <w:rsid w:val="000D0000"/>
    <w:rsid w:val="000D0791"/>
    <w:rsid w:val="000D103D"/>
    <w:rsid w:val="000D131C"/>
    <w:rsid w:val="000D17B4"/>
    <w:rsid w:val="000D1892"/>
    <w:rsid w:val="000D198C"/>
    <w:rsid w:val="000D1A8E"/>
    <w:rsid w:val="000D1CDB"/>
    <w:rsid w:val="000D37A2"/>
    <w:rsid w:val="000D3BB2"/>
    <w:rsid w:val="000D4AE7"/>
    <w:rsid w:val="000D4E05"/>
    <w:rsid w:val="000D6789"/>
    <w:rsid w:val="000D6976"/>
    <w:rsid w:val="000D703D"/>
    <w:rsid w:val="000D7433"/>
    <w:rsid w:val="000E0675"/>
    <w:rsid w:val="000E1293"/>
    <w:rsid w:val="000E19A9"/>
    <w:rsid w:val="000E2764"/>
    <w:rsid w:val="000E3D75"/>
    <w:rsid w:val="000E499F"/>
    <w:rsid w:val="000E4BF8"/>
    <w:rsid w:val="000E4FAB"/>
    <w:rsid w:val="000E4FB8"/>
    <w:rsid w:val="000E5027"/>
    <w:rsid w:val="000E51C6"/>
    <w:rsid w:val="000E5D3B"/>
    <w:rsid w:val="000E6418"/>
    <w:rsid w:val="000E731D"/>
    <w:rsid w:val="000E7478"/>
    <w:rsid w:val="000E7617"/>
    <w:rsid w:val="000E765B"/>
    <w:rsid w:val="000F0C8F"/>
    <w:rsid w:val="000F1C8A"/>
    <w:rsid w:val="000F2202"/>
    <w:rsid w:val="000F3499"/>
    <w:rsid w:val="000F3A09"/>
    <w:rsid w:val="000F3D63"/>
    <w:rsid w:val="000F3D92"/>
    <w:rsid w:val="000F4C67"/>
    <w:rsid w:val="000F4D71"/>
    <w:rsid w:val="000F4D72"/>
    <w:rsid w:val="000F4EC9"/>
    <w:rsid w:val="000F5C7B"/>
    <w:rsid w:val="000F62C5"/>
    <w:rsid w:val="000F6709"/>
    <w:rsid w:val="000F6D3B"/>
    <w:rsid w:val="000F6DD9"/>
    <w:rsid w:val="000F7BDB"/>
    <w:rsid w:val="0010035E"/>
    <w:rsid w:val="001004EF"/>
    <w:rsid w:val="00100CE0"/>
    <w:rsid w:val="00100D2D"/>
    <w:rsid w:val="00100ED5"/>
    <w:rsid w:val="00101159"/>
    <w:rsid w:val="00101388"/>
    <w:rsid w:val="00101493"/>
    <w:rsid w:val="0010279C"/>
    <w:rsid w:val="001034D6"/>
    <w:rsid w:val="00103836"/>
    <w:rsid w:val="00104584"/>
    <w:rsid w:val="001049B2"/>
    <w:rsid w:val="00104A5A"/>
    <w:rsid w:val="001053F8"/>
    <w:rsid w:val="00105444"/>
    <w:rsid w:val="0010559C"/>
    <w:rsid w:val="00105CE9"/>
    <w:rsid w:val="001071E6"/>
    <w:rsid w:val="0010721D"/>
    <w:rsid w:val="00107275"/>
    <w:rsid w:val="00107458"/>
    <w:rsid w:val="00110337"/>
    <w:rsid w:val="00110428"/>
    <w:rsid w:val="001108B1"/>
    <w:rsid w:val="00110929"/>
    <w:rsid w:val="00110C8B"/>
    <w:rsid w:val="0011183C"/>
    <w:rsid w:val="0011209B"/>
    <w:rsid w:val="0011258B"/>
    <w:rsid w:val="001128D8"/>
    <w:rsid w:val="001128EA"/>
    <w:rsid w:val="00112DAA"/>
    <w:rsid w:val="00113CCC"/>
    <w:rsid w:val="0011457B"/>
    <w:rsid w:val="00114999"/>
    <w:rsid w:val="00114E31"/>
    <w:rsid w:val="0011582B"/>
    <w:rsid w:val="00116088"/>
    <w:rsid w:val="00116181"/>
    <w:rsid w:val="001163AB"/>
    <w:rsid w:val="00116940"/>
    <w:rsid w:val="00116A10"/>
    <w:rsid w:val="00116C80"/>
    <w:rsid w:val="0012013A"/>
    <w:rsid w:val="001207A2"/>
    <w:rsid w:val="0012089F"/>
    <w:rsid w:val="00120A2A"/>
    <w:rsid w:val="00121AEC"/>
    <w:rsid w:val="001221E3"/>
    <w:rsid w:val="0012221A"/>
    <w:rsid w:val="001235A5"/>
    <w:rsid w:val="00123D14"/>
    <w:rsid w:val="00123D6D"/>
    <w:rsid w:val="00124742"/>
    <w:rsid w:val="0012483C"/>
    <w:rsid w:val="00124930"/>
    <w:rsid w:val="00124CB1"/>
    <w:rsid w:val="00124DA0"/>
    <w:rsid w:val="00124E4E"/>
    <w:rsid w:val="00124F7F"/>
    <w:rsid w:val="00125748"/>
    <w:rsid w:val="00126217"/>
    <w:rsid w:val="001266F5"/>
    <w:rsid w:val="00126D26"/>
    <w:rsid w:val="00127235"/>
    <w:rsid w:val="00127802"/>
    <w:rsid w:val="00130303"/>
    <w:rsid w:val="00130824"/>
    <w:rsid w:val="001311D3"/>
    <w:rsid w:val="001312B1"/>
    <w:rsid w:val="0013228B"/>
    <w:rsid w:val="001324E1"/>
    <w:rsid w:val="00132AA3"/>
    <w:rsid w:val="00132B33"/>
    <w:rsid w:val="00132B35"/>
    <w:rsid w:val="00132E50"/>
    <w:rsid w:val="00132F69"/>
    <w:rsid w:val="00133864"/>
    <w:rsid w:val="001344A1"/>
    <w:rsid w:val="00134627"/>
    <w:rsid w:val="001347E0"/>
    <w:rsid w:val="0013483A"/>
    <w:rsid w:val="00135DE8"/>
    <w:rsid w:val="00135F6A"/>
    <w:rsid w:val="00135F82"/>
    <w:rsid w:val="001361F9"/>
    <w:rsid w:val="001363C8"/>
    <w:rsid w:val="00136927"/>
    <w:rsid w:val="00137A49"/>
    <w:rsid w:val="00137B64"/>
    <w:rsid w:val="00140681"/>
    <w:rsid w:val="00140B0E"/>
    <w:rsid w:val="00140FD7"/>
    <w:rsid w:val="0014291D"/>
    <w:rsid w:val="0014504D"/>
    <w:rsid w:val="00145F2D"/>
    <w:rsid w:val="00150B15"/>
    <w:rsid w:val="00150C3E"/>
    <w:rsid w:val="00150E97"/>
    <w:rsid w:val="00151C70"/>
    <w:rsid w:val="00152297"/>
    <w:rsid w:val="0015252F"/>
    <w:rsid w:val="00152920"/>
    <w:rsid w:val="00152F60"/>
    <w:rsid w:val="001542FF"/>
    <w:rsid w:val="00154BB0"/>
    <w:rsid w:val="001556E4"/>
    <w:rsid w:val="00155EB1"/>
    <w:rsid w:val="0015608E"/>
    <w:rsid w:val="001562CD"/>
    <w:rsid w:val="001569B5"/>
    <w:rsid w:val="00156AFC"/>
    <w:rsid w:val="00156D63"/>
    <w:rsid w:val="0015769C"/>
    <w:rsid w:val="00157E3A"/>
    <w:rsid w:val="001603D0"/>
    <w:rsid w:val="00160A22"/>
    <w:rsid w:val="00161CCA"/>
    <w:rsid w:val="00161DAD"/>
    <w:rsid w:val="001620F0"/>
    <w:rsid w:val="00162E31"/>
    <w:rsid w:val="00162F92"/>
    <w:rsid w:val="00163602"/>
    <w:rsid w:val="001641BD"/>
    <w:rsid w:val="001642DF"/>
    <w:rsid w:val="00164394"/>
    <w:rsid w:val="0016461A"/>
    <w:rsid w:val="00164BCA"/>
    <w:rsid w:val="001651D4"/>
    <w:rsid w:val="00165568"/>
    <w:rsid w:val="001657F9"/>
    <w:rsid w:val="00166B36"/>
    <w:rsid w:val="0016711E"/>
    <w:rsid w:val="00167196"/>
    <w:rsid w:val="00167A68"/>
    <w:rsid w:val="00167A7C"/>
    <w:rsid w:val="00167D10"/>
    <w:rsid w:val="00167D62"/>
    <w:rsid w:val="00170084"/>
    <w:rsid w:val="0017156C"/>
    <w:rsid w:val="001715F1"/>
    <w:rsid w:val="00171636"/>
    <w:rsid w:val="00171FD8"/>
    <w:rsid w:val="001731A5"/>
    <w:rsid w:val="00173465"/>
    <w:rsid w:val="00173486"/>
    <w:rsid w:val="00173A3D"/>
    <w:rsid w:val="00174794"/>
    <w:rsid w:val="0017499D"/>
    <w:rsid w:val="001751BA"/>
    <w:rsid w:val="00175599"/>
    <w:rsid w:val="00176435"/>
    <w:rsid w:val="00176D44"/>
    <w:rsid w:val="00176E35"/>
    <w:rsid w:val="001775EE"/>
    <w:rsid w:val="00177DBB"/>
    <w:rsid w:val="00180C24"/>
    <w:rsid w:val="00180DFD"/>
    <w:rsid w:val="00181C3D"/>
    <w:rsid w:val="00181EBC"/>
    <w:rsid w:val="0018209A"/>
    <w:rsid w:val="00183E7C"/>
    <w:rsid w:val="001840CF"/>
    <w:rsid w:val="001842D0"/>
    <w:rsid w:val="00184ED1"/>
    <w:rsid w:val="00185890"/>
    <w:rsid w:val="00185BA5"/>
    <w:rsid w:val="00185F4F"/>
    <w:rsid w:val="0018648A"/>
    <w:rsid w:val="00186D43"/>
    <w:rsid w:val="001875BB"/>
    <w:rsid w:val="00187897"/>
    <w:rsid w:val="00187F71"/>
    <w:rsid w:val="0019000A"/>
    <w:rsid w:val="0019092F"/>
    <w:rsid w:val="00190EAA"/>
    <w:rsid w:val="00191250"/>
    <w:rsid w:val="00191807"/>
    <w:rsid w:val="00191FAD"/>
    <w:rsid w:val="00192199"/>
    <w:rsid w:val="001935FB"/>
    <w:rsid w:val="00193A2C"/>
    <w:rsid w:val="00193D61"/>
    <w:rsid w:val="00194180"/>
    <w:rsid w:val="00194F64"/>
    <w:rsid w:val="00195337"/>
    <w:rsid w:val="001953F3"/>
    <w:rsid w:val="00195A9E"/>
    <w:rsid w:val="0019622E"/>
    <w:rsid w:val="0019726D"/>
    <w:rsid w:val="001977B2"/>
    <w:rsid w:val="001978EB"/>
    <w:rsid w:val="00197F41"/>
    <w:rsid w:val="001A0193"/>
    <w:rsid w:val="001A03A4"/>
    <w:rsid w:val="001A0C52"/>
    <w:rsid w:val="001A0CFD"/>
    <w:rsid w:val="001A278C"/>
    <w:rsid w:val="001A27EB"/>
    <w:rsid w:val="001A34F6"/>
    <w:rsid w:val="001A3670"/>
    <w:rsid w:val="001A5155"/>
    <w:rsid w:val="001A5484"/>
    <w:rsid w:val="001A5DF6"/>
    <w:rsid w:val="001A6AB8"/>
    <w:rsid w:val="001A6CBC"/>
    <w:rsid w:val="001A6CCB"/>
    <w:rsid w:val="001A6E4E"/>
    <w:rsid w:val="001A75DB"/>
    <w:rsid w:val="001A7646"/>
    <w:rsid w:val="001B04AD"/>
    <w:rsid w:val="001B064F"/>
    <w:rsid w:val="001B0678"/>
    <w:rsid w:val="001B0745"/>
    <w:rsid w:val="001B0C8A"/>
    <w:rsid w:val="001B108E"/>
    <w:rsid w:val="001B1640"/>
    <w:rsid w:val="001B1EF4"/>
    <w:rsid w:val="001B21C5"/>
    <w:rsid w:val="001B2299"/>
    <w:rsid w:val="001B2E04"/>
    <w:rsid w:val="001B2E52"/>
    <w:rsid w:val="001B2F98"/>
    <w:rsid w:val="001B37E0"/>
    <w:rsid w:val="001B37F2"/>
    <w:rsid w:val="001B3EDD"/>
    <w:rsid w:val="001B40DD"/>
    <w:rsid w:val="001B5032"/>
    <w:rsid w:val="001B514E"/>
    <w:rsid w:val="001B55A1"/>
    <w:rsid w:val="001B565F"/>
    <w:rsid w:val="001B5AC0"/>
    <w:rsid w:val="001B5F8D"/>
    <w:rsid w:val="001B61D5"/>
    <w:rsid w:val="001B6A0C"/>
    <w:rsid w:val="001B6F75"/>
    <w:rsid w:val="001B7164"/>
    <w:rsid w:val="001C0715"/>
    <w:rsid w:val="001C0F01"/>
    <w:rsid w:val="001C0F31"/>
    <w:rsid w:val="001C16C1"/>
    <w:rsid w:val="001C192E"/>
    <w:rsid w:val="001C2B9B"/>
    <w:rsid w:val="001C2CE0"/>
    <w:rsid w:val="001C3558"/>
    <w:rsid w:val="001C3981"/>
    <w:rsid w:val="001C417A"/>
    <w:rsid w:val="001C4BB0"/>
    <w:rsid w:val="001C4E07"/>
    <w:rsid w:val="001C556E"/>
    <w:rsid w:val="001C5DA2"/>
    <w:rsid w:val="001C6ECF"/>
    <w:rsid w:val="001D077A"/>
    <w:rsid w:val="001D0B9D"/>
    <w:rsid w:val="001D1594"/>
    <w:rsid w:val="001D2182"/>
    <w:rsid w:val="001D4299"/>
    <w:rsid w:val="001D45FF"/>
    <w:rsid w:val="001D4639"/>
    <w:rsid w:val="001D4AE0"/>
    <w:rsid w:val="001D5755"/>
    <w:rsid w:val="001D6AC8"/>
    <w:rsid w:val="001D7352"/>
    <w:rsid w:val="001E07B4"/>
    <w:rsid w:val="001E1C36"/>
    <w:rsid w:val="001E2AB6"/>
    <w:rsid w:val="001E2E6F"/>
    <w:rsid w:val="001E2EC1"/>
    <w:rsid w:val="001E3857"/>
    <w:rsid w:val="001E3DAE"/>
    <w:rsid w:val="001E403A"/>
    <w:rsid w:val="001E4E59"/>
    <w:rsid w:val="001E5514"/>
    <w:rsid w:val="001E5641"/>
    <w:rsid w:val="001E5FA9"/>
    <w:rsid w:val="001E6A0C"/>
    <w:rsid w:val="001E7AD4"/>
    <w:rsid w:val="001E7D19"/>
    <w:rsid w:val="001E7D55"/>
    <w:rsid w:val="001F047C"/>
    <w:rsid w:val="001F0A2C"/>
    <w:rsid w:val="001F0C79"/>
    <w:rsid w:val="001F2CB9"/>
    <w:rsid w:val="001F31B0"/>
    <w:rsid w:val="001F3442"/>
    <w:rsid w:val="001F3684"/>
    <w:rsid w:val="001F4555"/>
    <w:rsid w:val="001F4568"/>
    <w:rsid w:val="001F46FE"/>
    <w:rsid w:val="001F4C47"/>
    <w:rsid w:val="001F5032"/>
    <w:rsid w:val="001F60B8"/>
    <w:rsid w:val="001F6A2A"/>
    <w:rsid w:val="001F6DB1"/>
    <w:rsid w:val="001F6EB9"/>
    <w:rsid w:val="002003B6"/>
    <w:rsid w:val="00200B76"/>
    <w:rsid w:val="00200FDC"/>
    <w:rsid w:val="00201537"/>
    <w:rsid w:val="00201AD2"/>
    <w:rsid w:val="00202624"/>
    <w:rsid w:val="0020297C"/>
    <w:rsid w:val="00203430"/>
    <w:rsid w:val="00203EAC"/>
    <w:rsid w:val="00204071"/>
    <w:rsid w:val="002044B9"/>
    <w:rsid w:val="002060BE"/>
    <w:rsid w:val="002063AD"/>
    <w:rsid w:val="002075C2"/>
    <w:rsid w:val="002102B4"/>
    <w:rsid w:val="00210402"/>
    <w:rsid w:val="00211A24"/>
    <w:rsid w:val="00211C99"/>
    <w:rsid w:val="00211D39"/>
    <w:rsid w:val="002123C7"/>
    <w:rsid w:val="00214646"/>
    <w:rsid w:val="0021534C"/>
    <w:rsid w:val="00215461"/>
    <w:rsid w:val="00215722"/>
    <w:rsid w:val="00215753"/>
    <w:rsid w:val="002163C3"/>
    <w:rsid w:val="002165A8"/>
    <w:rsid w:val="00216E47"/>
    <w:rsid w:val="002179E4"/>
    <w:rsid w:val="002203BB"/>
    <w:rsid w:val="00220504"/>
    <w:rsid w:val="00220871"/>
    <w:rsid w:val="00220939"/>
    <w:rsid w:val="00220A09"/>
    <w:rsid w:val="00223228"/>
    <w:rsid w:val="002238A5"/>
    <w:rsid w:val="00223A88"/>
    <w:rsid w:val="002241B5"/>
    <w:rsid w:val="002241BE"/>
    <w:rsid w:val="0022433C"/>
    <w:rsid w:val="00224481"/>
    <w:rsid w:val="002246F3"/>
    <w:rsid w:val="0022549F"/>
    <w:rsid w:val="00225DCC"/>
    <w:rsid w:val="00225FC7"/>
    <w:rsid w:val="0022613A"/>
    <w:rsid w:val="00226B80"/>
    <w:rsid w:val="0022705C"/>
    <w:rsid w:val="002273C2"/>
    <w:rsid w:val="002275B2"/>
    <w:rsid w:val="0022769E"/>
    <w:rsid w:val="00227E50"/>
    <w:rsid w:val="0023008F"/>
    <w:rsid w:val="002306B5"/>
    <w:rsid w:val="00230D76"/>
    <w:rsid w:val="0023131D"/>
    <w:rsid w:val="002314EF"/>
    <w:rsid w:val="00231D35"/>
    <w:rsid w:val="00231D98"/>
    <w:rsid w:val="00231DEB"/>
    <w:rsid w:val="00232ED9"/>
    <w:rsid w:val="00232F53"/>
    <w:rsid w:val="00233240"/>
    <w:rsid w:val="0023362C"/>
    <w:rsid w:val="0023368D"/>
    <w:rsid w:val="00233F55"/>
    <w:rsid w:val="00233F81"/>
    <w:rsid w:val="0023597D"/>
    <w:rsid w:val="0023641C"/>
    <w:rsid w:val="00236700"/>
    <w:rsid w:val="002369E0"/>
    <w:rsid w:val="00237644"/>
    <w:rsid w:val="00237F9F"/>
    <w:rsid w:val="002406A0"/>
    <w:rsid w:val="002410A4"/>
    <w:rsid w:val="002419F7"/>
    <w:rsid w:val="00241BE7"/>
    <w:rsid w:val="00242784"/>
    <w:rsid w:val="00242A84"/>
    <w:rsid w:val="00243A3B"/>
    <w:rsid w:val="00243DFD"/>
    <w:rsid w:val="0024402C"/>
    <w:rsid w:val="002444BB"/>
    <w:rsid w:val="0024483A"/>
    <w:rsid w:val="00244C50"/>
    <w:rsid w:val="00244E00"/>
    <w:rsid w:val="00245693"/>
    <w:rsid w:val="002457B6"/>
    <w:rsid w:val="002461D5"/>
    <w:rsid w:val="002464A3"/>
    <w:rsid w:val="00246863"/>
    <w:rsid w:val="00246973"/>
    <w:rsid w:val="00246A0D"/>
    <w:rsid w:val="00246D4B"/>
    <w:rsid w:val="00247061"/>
    <w:rsid w:val="0025013C"/>
    <w:rsid w:val="002502EB"/>
    <w:rsid w:val="00250D45"/>
    <w:rsid w:val="00251103"/>
    <w:rsid w:val="002519B2"/>
    <w:rsid w:val="00251C69"/>
    <w:rsid w:val="00252B2A"/>
    <w:rsid w:val="00253278"/>
    <w:rsid w:val="00253380"/>
    <w:rsid w:val="00253740"/>
    <w:rsid w:val="00253AEE"/>
    <w:rsid w:val="0025405B"/>
    <w:rsid w:val="00254998"/>
    <w:rsid w:val="002559CC"/>
    <w:rsid w:val="00255C47"/>
    <w:rsid w:val="00255C67"/>
    <w:rsid w:val="00256938"/>
    <w:rsid w:val="002569D4"/>
    <w:rsid w:val="00256B96"/>
    <w:rsid w:val="00256D29"/>
    <w:rsid w:val="00257BA5"/>
    <w:rsid w:val="00260DB2"/>
    <w:rsid w:val="00260F35"/>
    <w:rsid w:val="00261690"/>
    <w:rsid w:val="002623B7"/>
    <w:rsid w:val="002623F7"/>
    <w:rsid w:val="0026286C"/>
    <w:rsid w:val="00262D6C"/>
    <w:rsid w:val="00262F5A"/>
    <w:rsid w:val="00263BEB"/>
    <w:rsid w:val="002646FF"/>
    <w:rsid w:val="00264B0D"/>
    <w:rsid w:val="00265649"/>
    <w:rsid w:val="00265C56"/>
    <w:rsid w:val="00265E60"/>
    <w:rsid w:val="00266177"/>
    <w:rsid w:val="00266907"/>
    <w:rsid w:val="00266D2E"/>
    <w:rsid w:val="002674F3"/>
    <w:rsid w:val="002675E6"/>
    <w:rsid w:val="00270DDE"/>
    <w:rsid w:val="00270E24"/>
    <w:rsid w:val="0027118C"/>
    <w:rsid w:val="00271541"/>
    <w:rsid w:val="00271881"/>
    <w:rsid w:val="00271D3B"/>
    <w:rsid w:val="0027230B"/>
    <w:rsid w:val="002727DD"/>
    <w:rsid w:val="002734D6"/>
    <w:rsid w:val="00273FBF"/>
    <w:rsid w:val="00274B20"/>
    <w:rsid w:val="00274E25"/>
    <w:rsid w:val="002750AD"/>
    <w:rsid w:val="00275559"/>
    <w:rsid w:val="00275D56"/>
    <w:rsid w:val="002768F8"/>
    <w:rsid w:val="002778FD"/>
    <w:rsid w:val="00277B28"/>
    <w:rsid w:val="00280662"/>
    <w:rsid w:val="00280691"/>
    <w:rsid w:val="00280D00"/>
    <w:rsid w:val="002811E9"/>
    <w:rsid w:val="002827FC"/>
    <w:rsid w:val="00282F8F"/>
    <w:rsid w:val="00283BE6"/>
    <w:rsid w:val="00284040"/>
    <w:rsid w:val="00284AA6"/>
    <w:rsid w:val="00284B57"/>
    <w:rsid w:val="00284B76"/>
    <w:rsid w:val="00285066"/>
    <w:rsid w:val="002859DD"/>
    <w:rsid w:val="00285C31"/>
    <w:rsid w:val="00285FA2"/>
    <w:rsid w:val="002860A4"/>
    <w:rsid w:val="00286B94"/>
    <w:rsid w:val="00287230"/>
    <w:rsid w:val="00287892"/>
    <w:rsid w:val="00290910"/>
    <w:rsid w:val="002912A7"/>
    <w:rsid w:val="00291730"/>
    <w:rsid w:val="00291B4A"/>
    <w:rsid w:val="0029297D"/>
    <w:rsid w:val="0029353D"/>
    <w:rsid w:val="00293AFF"/>
    <w:rsid w:val="00293F80"/>
    <w:rsid w:val="00294CD7"/>
    <w:rsid w:val="0029566D"/>
    <w:rsid w:val="00295D77"/>
    <w:rsid w:val="00296548"/>
    <w:rsid w:val="0029756A"/>
    <w:rsid w:val="00297D96"/>
    <w:rsid w:val="002A005B"/>
    <w:rsid w:val="002A0D36"/>
    <w:rsid w:val="002A10CF"/>
    <w:rsid w:val="002A198B"/>
    <w:rsid w:val="002A1B37"/>
    <w:rsid w:val="002A2102"/>
    <w:rsid w:val="002A2610"/>
    <w:rsid w:val="002A2E55"/>
    <w:rsid w:val="002A307E"/>
    <w:rsid w:val="002A3D05"/>
    <w:rsid w:val="002A412C"/>
    <w:rsid w:val="002A569C"/>
    <w:rsid w:val="002A5C3C"/>
    <w:rsid w:val="002A6C39"/>
    <w:rsid w:val="002A74D1"/>
    <w:rsid w:val="002A761C"/>
    <w:rsid w:val="002A78ED"/>
    <w:rsid w:val="002B0007"/>
    <w:rsid w:val="002B0036"/>
    <w:rsid w:val="002B0376"/>
    <w:rsid w:val="002B0A0B"/>
    <w:rsid w:val="002B0B50"/>
    <w:rsid w:val="002B0E0C"/>
    <w:rsid w:val="002B10E0"/>
    <w:rsid w:val="002B16F8"/>
    <w:rsid w:val="002B21C1"/>
    <w:rsid w:val="002B333A"/>
    <w:rsid w:val="002B337E"/>
    <w:rsid w:val="002B35A8"/>
    <w:rsid w:val="002B37A2"/>
    <w:rsid w:val="002B3A01"/>
    <w:rsid w:val="002B3D6B"/>
    <w:rsid w:val="002B4CDD"/>
    <w:rsid w:val="002B5277"/>
    <w:rsid w:val="002B53CE"/>
    <w:rsid w:val="002B575F"/>
    <w:rsid w:val="002B5DE8"/>
    <w:rsid w:val="002B607D"/>
    <w:rsid w:val="002B6D49"/>
    <w:rsid w:val="002B6EFC"/>
    <w:rsid w:val="002B711F"/>
    <w:rsid w:val="002B73DD"/>
    <w:rsid w:val="002B750F"/>
    <w:rsid w:val="002B79B2"/>
    <w:rsid w:val="002C0053"/>
    <w:rsid w:val="002C02C0"/>
    <w:rsid w:val="002C06CB"/>
    <w:rsid w:val="002C0929"/>
    <w:rsid w:val="002C1455"/>
    <w:rsid w:val="002C1648"/>
    <w:rsid w:val="002C1F7E"/>
    <w:rsid w:val="002C2170"/>
    <w:rsid w:val="002C2230"/>
    <w:rsid w:val="002C2583"/>
    <w:rsid w:val="002C38BF"/>
    <w:rsid w:val="002C4B9C"/>
    <w:rsid w:val="002C6083"/>
    <w:rsid w:val="002C63D9"/>
    <w:rsid w:val="002C7152"/>
    <w:rsid w:val="002C75FD"/>
    <w:rsid w:val="002D0018"/>
    <w:rsid w:val="002D0B4A"/>
    <w:rsid w:val="002D0FE7"/>
    <w:rsid w:val="002D2D10"/>
    <w:rsid w:val="002D3149"/>
    <w:rsid w:val="002D41B9"/>
    <w:rsid w:val="002D5146"/>
    <w:rsid w:val="002D55F7"/>
    <w:rsid w:val="002D5C6C"/>
    <w:rsid w:val="002D5F81"/>
    <w:rsid w:val="002D621B"/>
    <w:rsid w:val="002D66DC"/>
    <w:rsid w:val="002D6A78"/>
    <w:rsid w:val="002D6D56"/>
    <w:rsid w:val="002E0B7D"/>
    <w:rsid w:val="002E0F84"/>
    <w:rsid w:val="002E11B8"/>
    <w:rsid w:val="002E1303"/>
    <w:rsid w:val="002E2383"/>
    <w:rsid w:val="002E2489"/>
    <w:rsid w:val="002E2C3B"/>
    <w:rsid w:val="002E316D"/>
    <w:rsid w:val="002E3757"/>
    <w:rsid w:val="002E4071"/>
    <w:rsid w:val="002E40F1"/>
    <w:rsid w:val="002E4278"/>
    <w:rsid w:val="002E4342"/>
    <w:rsid w:val="002E4C99"/>
    <w:rsid w:val="002E5CE7"/>
    <w:rsid w:val="002E5F1D"/>
    <w:rsid w:val="002E65F0"/>
    <w:rsid w:val="002E68E0"/>
    <w:rsid w:val="002E7045"/>
    <w:rsid w:val="002E7268"/>
    <w:rsid w:val="002F00F7"/>
    <w:rsid w:val="002F0915"/>
    <w:rsid w:val="002F0A8B"/>
    <w:rsid w:val="002F19AD"/>
    <w:rsid w:val="002F1C7F"/>
    <w:rsid w:val="002F1D26"/>
    <w:rsid w:val="002F3687"/>
    <w:rsid w:val="002F377F"/>
    <w:rsid w:val="002F3868"/>
    <w:rsid w:val="002F3C8D"/>
    <w:rsid w:val="002F5086"/>
    <w:rsid w:val="002F52EC"/>
    <w:rsid w:val="002F61C0"/>
    <w:rsid w:val="002F77D9"/>
    <w:rsid w:val="002F7E71"/>
    <w:rsid w:val="0030006B"/>
    <w:rsid w:val="00300B47"/>
    <w:rsid w:val="0030136C"/>
    <w:rsid w:val="00301A62"/>
    <w:rsid w:val="003024A1"/>
    <w:rsid w:val="00302529"/>
    <w:rsid w:val="00302E55"/>
    <w:rsid w:val="003030C2"/>
    <w:rsid w:val="00303992"/>
    <w:rsid w:val="003039B5"/>
    <w:rsid w:val="00303C75"/>
    <w:rsid w:val="00303F16"/>
    <w:rsid w:val="00304B80"/>
    <w:rsid w:val="00304EE6"/>
    <w:rsid w:val="003054FF"/>
    <w:rsid w:val="0030560E"/>
    <w:rsid w:val="003059D4"/>
    <w:rsid w:val="00305D25"/>
    <w:rsid w:val="00306346"/>
    <w:rsid w:val="003069E3"/>
    <w:rsid w:val="00306D9A"/>
    <w:rsid w:val="00307A4F"/>
    <w:rsid w:val="00307B43"/>
    <w:rsid w:val="00310571"/>
    <w:rsid w:val="00311645"/>
    <w:rsid w:val="00311F49"/>
    <w:rsid w:val="003126E4"/>
    <w:rsid w:val="00312978"/>
    <w:rsid w:val="0031363E"/>
    <w:rsid w:val="00313D6A"/>
    <w:rsid w:val="00314F7A"/>
    <w:rsid w:val="00315708"/>
    <w:rsid w:val="00320648"/>
    <w:rsid w:val="003208AC"/>
    <w:rsid w:val="003212A1"/>
    <w:rsid w:val="003219B8"/>
    <w:rsid w:val="003221A4"/>
    <w:rsid w:val="0032241D"/>
    <w:rsid w:val="00322B57"/>
    <w:rsid w:val="00322FE9"/>
    <w:rsid w:val="003234D8"/>
    <w:rsid w:val="003246CC"/>
    <w:rsid w:val="0033037F"/>
    <w:rsid w:val="00330E8E"/>
    <w:rsid w:val="00330FF3"/>
    <w:rsid w:val="00331471"/>
    <w:rsid w:val="0033231E"/>
    <w:rsid w:val="00332A01"/>
    <w:rsid w:val="00332ADA"/>
    <w:rsid w:val="00332C2D"/>
    <w:rsid w:val="00332F2F"/>
    <w:rsid w:val="0033328A"/>
    <w:rsid w:val="00334539"/>
    <w:rsid w:val="00336431"/>
    <w:rsid w:val="00336F8B"/>
    <w:rsid w:val="00337139"/>
    <w:rsid w:val="0033754E"/>
    <w:rsid w:val="003376DE"/>
    <w:rsid w:val="00337842"/>
    <w:rsid w:val="0034023B"/>
    <w:rsid w:val="00340F8C"/>
    <w:rsid w:val="0034107F"/>
    <w:rsid w:val="003419F5"/>
    <w:rsid w:val="00342B85"/>
    <w:rsid w:val="003431D6"/>
    <w:rsid w:val="00343B43"/>
    <w:rsid w:val="00343C87"/>
    <w:rsid w:val="00343E90"/>
    <w:rsid w:val="003442BA"/>
    <w:rsid w:val="0034541F"/>
    <w:rsid w:val="00345FB8"/>
    <w:rsid w:val="0034601B"/>
    <w:rsid w:val="003469A9"/>
    <w:rsid w:val="0034729B"/>
    <w:rsid w:val="0034756A"/>
    <w:rsid w:val="00347625"/>
    <w:rsid w:val="00347654"/>
    <w:rsid w:val="0035032C"/>
    <w:rsid w:val="003515BB"/>
    <w:rsid w:val="003528F3"/>
    <w:rsid w:val="00352FBB"/>
    <w:rsid w:val="0035315E"/>
    <w:rsid w:val="003531C8"/>
    <w:rsid w:val="00353DF0"/>
    <w:rsid w:val="003550E0"/>
    <w:rsid w:val="003552B1"/>
    <w:rsid w:val="0035538A"/>
    <w:rsid w:val="00355529"/>
    <w:rsid w:val="0035703C"/>
    <w:rsid w:val="0035734D"/>
    <w:rsid w:val="00357A2E"/>
    <w:rsid w:val="00360642"/>
    <w:rsid w:val="003608A7"/>
    <w:rsid w:val="0036116C"/>
    <w:rsid w:val="003614EF"/>
    <w:rsid w:val="003617F2"/>
    <w:rsid w:val="00365686"/>
    <w:rsid w:val="00366362"/>
    <w:rsid w:val="0036775C"/>
    <w:rsid w:val="00367BDF"/>
    <w:rsid w:val="00367E2C"/>
    <w:rsid w:val="003702C7"/>
    <w:rsid w:val="00370377"/>
    <w:rsid w:val="00370B39"/>
    <w:rsid w:val="00370B58"/>
    <w:rsid w:val="00370F5E"/>
    <w:rsid w:val="00371622"/>
    <w:rsid w:val="003735B9"/>
    <w:rsid w:val="003747AC"/>
    <w:rsid w:val="00375293"/>
    <w:rsid w:val="003752C0"/>
    <w:rsid w:val="0037575A"/>
    <w:rsid w:val="003764D9"/>
    <w:rsid w:val="003765C4"/>
    <w:rsid w:val="00376D04"/>
    <w:rsid w:val="00377652"/>
    <w:rsid w:val="00380214"/>
    <w:rsid w:val="0038098A"/>
    <w:rsid w:val="00380E54"/>
    <w:rsid w:val="00380F86"/>
    <w:rsid w:val="003812A4"/>
    <w:rsid w:val="00381304"/>
    <w:rsid w:val="00382A6D"/>
    <w:rsid w:val="0038340D"/>
    <w:rsid w:val="00383557"/>
    <w:rsid w:val="003839D3"/>
    <w:rsid w:val="003856BC"/>
    <w:rsid w:val="003859B8"/>
    <w:rsid w:val="00385BB4"/>
    <w:rsid w:val="00385C53"/>
    <w:rsid w:val="003860CA"/>
    <w:rsid w:val="00387440"/>
    <w:rsid w:val="00387656"/>
    <w:rsid w:val="00390A38"/>
    <w:rsid w:val="0039106C"/>
    <w:rsid w:val="0039322E"/>
    <w:rsid w:val="003933D4"/>
    <w:rsid w:val="00393611"/>
    <w:rsid w:val="00393AD0"/>
    <w:rsid w:val="00393AEB"/>
    <w:rsid w:val="00394B12"/>
    <w:rsid w:val="003973B8"/>
    <w:rsid w:val="003978E5"/>
    <w:rsid w:val="00397F66"/>
    <w:rsid w:val="003A053B"/>
    <w:rsid w:val="003A05BD"/>
    <w:rsid w:val="003A0BF4"/>
    <w:rsid w:val="003A0DB4"/>
    <w:rsid w:val="003A2662"/>
    <w:rsid w:val="003A2AD5"/>
    <w:rsid w:val="003A2CD5"/>
    <w:rsid w:val="003A336C"/>
    <w:rsid w:val="003A33FF"/>
    <w:rsid w:val="003A357E"/>
    <w:rsid w:val="003A44C1"/>
    <w:rsid w:val="003A4E40"/>
    <w:rsid w:val="003A4E65"/>
    <w:rsid w:val="003A6AD1"/>
    <w:rsid w:val="003A6D98"/>
    <w:rsid w:val="003A6F3D"/>
    <w:rsid w:val="003B06BC"/>
    <w:rsid w:val="003B0C6B"/>
    <w:rsid w:val="003B1405"/>
    <w:rsid w:val="003B1EFE"/>
    <w:rsid w:val="003B20C9"/>
    <w:rsid w:val="003B2AEE"/>
    <w:rsid w:val="003B2B7E"/>
    <w:rsid w:val="003B2E07"/>
    <w:rsid w:val="003B3777"/>
    <w:rsid w:val="003B3878"/>
    <w:rsid w:val="003B488A"/>
    <w:rsid w:val="003B4A60"/>
    <w:rsid w:val="003B5447"/>
    <w:rsid w:val="003B5FF7"/>
    <w:rsid w:val="003B61EE"/>
    <w:rsid w:val="003B667C"/>
    <w:rsid w:val="003B7767"/>
    <w:rsid w:val="003C0931"/>
    <w:rsid w:val="003C1D48"/>
    <w:rsid w:val="003C1E65"/>
    <w:rsid w:val="003C1F86"/>
    <w:rsid w:val="003C1FF9"/>
    <w:rsid w:val="003C2BB0"/>
    <w:rsid w:val="003C2BBB"/>
    <w:rsid w:val="003C3AED"/>
    <w:rsid w:val="003C3B61"/>
    <w:rsid w:val="003C3E69"/>
    <w:rsid w:val="003C40DF"/>
    <w:rsid w:val="003C43EE"/>
    <w:rsid w:val="003C5415"/>
    <w:rsid w:val="003C5C55"/>
    <w:rsid w:val="003C5E79"/>
    <w:rsid w:val="003C5EF1"/>
    <w:rsid w:val="003C5F58"/>
    <w:rsid w:val="003C637F"/>
    <w:rsid w:val="003C709A"/>
    <w:rsid w:val="003C753E"/>
    <w:rsid w:val="003C763C"/>
    <w:rsid w:val="003C79A9"/>
    <w:rsid w:val="003C7DB8"/>
    <w:rsid w:val="003D067D"/>
    <w:rsid w:val="003D2322"/>
    <w:rsid w:val="003D247E"/>
    <w:rsid w:val="003D29CF"/>
    <w:rsid w:val="003D373B"/>
    <w:rsid w:val="003D47E4"/>
    <w:rsid w:val="003D52F6"/>
    <w:rsid w:val="003D53C8"/>
    <w:rsid w:val="003D5FEE"/>
    <w:rsid w:val="003D6BF5"/>
    <w:rsid w:val="003D73A7"/>
    <w:rsid w:val="003D77BA"/>
    <w:rsid w:val="003D7ADD"/>
    <w:rsid w:val="003E047E"/>
    <w:rsid w:val="003E0B1C"/>
    <w:rsid w:val="003E1D3D"/>
    <w:rsid w:val="003E1DC7"/>
    <w:rsid w:val="003E252D"/>
    <w:rsid w:val="003E268F"/>
    <w:rsid w:val="003E4A28"/>
    <w:rsid w:val="003E4E61"/>
    <w:rsid w:val="003E549D"/>
    <w:rsid w:val="003E5544"/>
    <w:rsid w:val="003E6CC5"/>
    <w:rsid w:val="003F0208"/>
    <w:rsid w:val="003F0484"/>
    <w:rsid w:val="003F0928"/>
    <w:rsid w:val="003F1CDB"/>
    <w:rsid w:val="003F27E0"/>
    <w:rsid w:val="003F2B64"/>
    <w:rsid w:val="003F2DFE"/>
    <w:rsid w:val="003F37A3"/>
    <w:rsid w:val="003F3C25"/>
    <w:rsid w:val="003F3D5F"/>
    <w:rsid w:val="003F4603"/>
    <w:rsid w:val="003F49ED"/>
    <w:rsid w:val="003F4FF3"/>
    <w:rsid w:val="003F51F2"/>
    <w:rsid w:val="003F5372"/>
    <w:rsid w:val="003F6308"/>
    <w:rsid w:val="003F65DE"/>
    <w:rsid w:val="003F663C"/>
    <w:rsid w:val="003F6709"/>
    <w:rsid w:val="003F6AC7"/>
    <w:rsid w:val="004000B1"/>
    <w:rsid w:val="0040050E"/>
    <w:rsid w:val="00400B4A"/>
    <w:rsid w:val="00400F4F"/>
    <w:rsid w:val="00401C96"/>
    <w:rsid w:val="00401FD2"/>
    <w:rsid w:val="00402505"/>
    <w:rsid w:val="0040326D"/>
    <w:rsid w:val="00403A36"/>
    <w:rsid w:val="0040460C"/>
    <w:rsid w:val="0040522E"/>
    <w:rsid w:val="00405803"/>
    <w:rsid w:val="00405894"/>
    <w:rsid w:val="00405908"/>
    <w:rsid w:val="00405B5D"/>
    <w:rsid w:val="00405F00"/>
    <w:rsid w:val="0040762B"/>
    <w:rsid w:val="00407892"/>
    <w:rsid w:val="00407986"/>
    <w:rsid w:val="00407C25"/>
    <w:rsid w:val="004103D7"/>
    <w:rsid w:val="00411DE3"/>
    <w:rsid w:val="00412157"/>
    <w:rsid w:val="00412545"/>
    <w:rsid w:val="004132AD"/>
    <w:rsid w:val="004134D8"/>
    <w:rsid w:val="00413B31"/>
    <w:rsid w:val="00413D3B"/>
    <w:rsid w:val="00414350"/>
    <w:rsid w:val="00414A73"/>
    <w:rsid w:val="00414E87"/>
    <w:rsid w:val="0041578F"/>
    <w:rsid w:val="00415D73"/>
    <w:rsid w:val="00416650"/>
    <w:rsid w:val="0041729D"/>
    <w:rsid w:val="00417804"/>
    <w:rsid w:val="00417809"/>
    <w:rsid w:val="00417999"/>
    <w:rsid w:val="004203D4"/>
    <w:rsid w:val="00420A09"/>
    <w:rsid w:val="00420C7D"/>
    <w:rsid w:val="00420FE5"/>
    <w:rsid w:val="00421009"/>
    <w:rsid w:val="00421540"/>
    <w:rsid w:val="0042263F"/>
    <w:rsid w:val="00423372"/>
    <w:rsid w:val="00423905"/>
    <w:rsid w:val="00426022"/>
    <w:rsid w:val="004265EB"/>
    <w:rsid w:val="00426C9D"/>
    <w:rsid w:val="004273D3"/>
    <w:rsid w:val="00430D81"/>
    <w:rsid w:val="004311F5"/>
    <w:rsid w:val="00431D7E"/>
    <w:rsid w:val="00431D9E"/>
    <w:rsid w:val="00432C71"/>
    <w:rsid w:val="00432C9C"/>
    <w:rsid w:val="00432E1A"/>
    <w:rsid w:val="00433B02"/>
    <w:rsid w:val="00434394"/>
    <w:rsid w:val="00434B1A"/>
    <w:rsid w:val="00435350"/>
    <w:rsid w:val="004355B8"/>
    <w:rsid w:val="00435675"/>
    <w:rsid w:val="00435D5D"/>
    <w:rsid w:val="00435E67"/>
    <w:rsid w:val="00435F14"/>
    <w:rsid w:val="00436038"/>
    <w:rsid w:val="00436BAD"/>
    <w:rsid w:val="00440168"/>
    <w:rsid w:val="00440354"/>
    <w:rsid w:val="00441F97"/>
    <w:rsid w:val="00442138"/>
    <w:rsid w:val="00442AF1"/>
    <w:rsid w:val="00442C4F"/>
    <w:rsid w:val="00443E6E"/>
    <w:rsid w:val="0044432C"/>
    <w:rsid w:val="00444649"/>
    <w:rsid w:val="00446A41"/>
    <w:rsid w:val="00446BD7"/>
    <w:rsid w:val="00446C1B"/>
    <w:rsid w:val="00446C85"/>
    <w:rsid w:val="00447697"/>
    <w:rsid w:val="00447D1F"/>
    <w:rsid w:val="00450D97"/>
    <w:rsid w:val="004518F5"/>
    <w:rsid w:val="00451B21"/>
    <w:rsid w:val="00451F3C"/>
    <w:rsid w:val="00451F8D"/>
    <w:rsid w:val="004525D6"/>
    <w:rsid w:val="00453043"/>
    <w:rsid w:val="004532C4"/>
    <w:rsid w:val="00453D7A"/>
    <w:rsid w:val="0045484D"/>
    <w:rsid w:val="00454FEE"/>
    <w:rsid w:val="004557FE"/>
    <w:rsid w:val="00455DA8"/>
    <w:rsid w:val="00456245"/>
    <w:rsid w:val="00456399"/>
    <w:rsid w:val="0045767D"/>
    <w:rsid w:val="004576E5"/>
    <w:rsid w:val="00457E25"/>
    <w:rsid w:val="004606F2"/>
    <w:rsid w:val="00460A06"/>
    <w:rsid w:val="00460BCC"/>
    <w:rsid w:val="00460DFA"/>
    <w:rsid w:val="004612D7"/>
    <w:rsid w:val="004614CD"/>
    <w:rsid w:val="00461BBC"/>
    <w:rsid w:val="00462B2A"/>
    <w:rsid w:val="004637BA"/>
    <w:rsid w:val="00465386"/>
    <w:rsid w:val="00465ADB"/>
    <w:rsid w:val="004663ED"/>
    <w:rsid w:val="004665ED"/>
    <w:rsid w:val="00467874"/>
    <w:rsid w:val="00467949"/>
    <w:rsid w:val="0047023B"/>
    <w:rsid w:val="00470910"/>
    <w:rsid w:val="00470AC3"/>
    <w:rsid w:val="00471067"/>
    <w:rsid w:val="00472136"/>
    <w:rsid w:val="0047237E"/>
    <w:rsid w:val="004729E8"/>
    <w:rsid w:val="004733E6"/>
    <w:rsid w:val="004744C4"/>
    <w:rsid w:val="00474967"/>
    <w:rsid w:val="00474DB5"/>
    <w:rsid w:val="00475AC8"/>
    <w:rsid w:val="00475C4B"/>
    <w:rsid w:val="0047610C"/>
    <w:rsid w:val="004765F0"/>
    <w:rsid w:val="00476835"/>
    <w:rsid w:val="004772E4"/>
    <w:rsid w:val="004778EE"/>
    <w:rsid w:val="00477D60"/>
    <w:rsid w:val="00480B4C"/>
    <w:rsid w:val="004814AA"/>
    <w:rsid w:val="00481B02"/>
    <w:rsid w:val="00482015"/>
    <w:rsid w:val="00482743"/>
    <w:rsid w:val="00482D9B"/>
    <w:rsid w:val="0048321C"/>
    <w:rsid w:val="004834E6"/>
    <w:rsid w:val="004835D2"/>
    <w:rsid w:val="004835F3"/>
    <w:rsid w:val="00483A27"/>
    <w:rsid w:val="00484288"/>
    <w:rsid w:val="00484909"/>
    <w:rsid w:val="00484B59"/>
    <w:rsid w:val="004854BE"/>
    <w:rsid w:val="00486182"/>
    <w:rsid w:val="00486942"/>
    <w:rsid w:val="00486E1E"/>
    <w:rsid w:val="0048783B"/>
    <w:rsid w:val="00487A71"/>
    <w:rsid w:val="004900E7"/>
    <w:rsid w:val="00490714"/>
    <w:rsid w:val="004915C7"/>
    <w:rsid w:val="00491A9F"/>
    <w:rsid w:val="00491FF8"/>
    <w:rsid w:val="0049220C"/>
    <w:rsid w:val="00492385"/>
    <w:rsid w:val="00493033"/>
    <w:rsid w:val="0049466E"/>
    <w:rsid w:val="004951A3"/>
    <w:rsid w:val="00495EEA"/>
    <w:rsid w:val="0049668C"/>
    <w:rsid w:val="00496B85"/>
    <w:rsid w:val="00497B54"/>
    <w:rsid w:val="004A08E6"/>
    <w:rsid w:val="004A0DBC"/>
    <w:rsid w:val="004A101F"/>
    <w:rsid w:val="004A1170"/>
    <w:rsid w:val="004A16F7"/>
    <w:rsid w:val="004A238A"/>
    <w:rsid w:val="004A349B"/>
    <w:rsid w:val="004A4614"/>
    <w:rsid w:val="004A484B"/>
    <w:rsid w:val="004A4F15"/>
    <w:rsid w:val="004A5F3C"/>
    <w:rsid w:val="004A6167"/>
    <w:rsid w:val="004A730C"/>
    <w:rsid w:val="004B0370"/>
    <w:rsid w:val="004B055D"/>
    <w:rsid w:val="004B0778"/>
    <w:rsid w:val="004B0C32"/>
    <w:rsid w:val="004B0D5F"/>
    <w:rsid w:val="004B18D2"/>
    <w:rsid w:val="004B1FDC"/>
    <w:rsid w:val="004B211F"/>
    <w:rsid w:val="004B21BB"/>
    <w:rsid w:val="004B25DE"/>
    <w:rsid w:val="004B2BFE"/>
    <w:rsid w:val="004B2E53"/>
    <w:rsid w:val="004B3268"/>
    <w:rsid w:val="004B3C9A"/>
    <w:rsid w:val="004B5106"/>
    <w:rsid w:val="004B5CCD"/>
    <w:rsid w:val="004B6B8B"/>
    <w:rsid w:val="004B7B57"/>
    <w:rsid w:val="004C0977"/>
    <w:rsid w:val="004C0C95"/>
    <w:rsid w:val="004C10ED"/>
    <w:rsid w:val="004C20EF"/>
    <w:rsid w:val="004C24F8"/>
    <w:rsid w:val="004C2510"/>
    <w:rsid w:val="004C28EF"/>
    <w:rsid w:val="004C28F1"/>
    <w:rsid w:val="004C30F6"/>
    <w:rsid w:val="004C3199"/>
    <w:rsid w:val="004C326E"/>
    <w:rsid w:val="004C3510"/>
    <w:rsid w:val="004C53FA"/>
    <w:rsid w:val="004C5F7A"/>
    <w:rsid w:val="004C6232"/>
    <w:rsid w:val="004C70F9"/>
    <w:rsid w:val="004C7660"/>
    <w:rsid w:val="004D119A"/>
    <w:rsid w:val="004D1D71"/>
    <w:rsid w:val="004D2092"/>
    <w:rsid w:val="004D2339"/>
    <w:rsid w:val="004D29EE"/>
    <w:rsid w:val="004D481E"/>
    <w:rsid w:val="004D49C7"/>
    <w:rsid w:val="004D4D82"/>
    <w:rsid w:val="004D5810"/>
    <w:rsid w:val="004D64D0"/>
    <w:rsid w:val="004D78E5"/>
    <w:rsid w:val="004D7B37"/>
    <w:rsid w:val="004D7BA2"/>
    <w:rsid w:val="004D7FD5"/>
    <w:rsid w:val="004E04E5"/>
    <w:rsid w:val="004E059C"/>
    <w:rsid w:val="004E097B"/>
    <w:rsid w:val="004E13BE"/>
    <w:rsid w:val="004E14E7"/>
    <w:rsid w:val="004E1923"/>
    <w:rsid w:val="004E1EA6"/>
    <w:rsid w:val="004E1FD8"/>
    <w:rsid w:val="004E2313"/>
    <w:rsid w:val="004E2A46"/>
    <w:rsid w:val="004E3528"/>
    <w:rsid w:val="004E44CC"/>
    <w:rsid w:val="004E46B3"/>
    <w:rsid w:val="004E5FFD"/>
    <w:rsid w:val="004E6856"/>
    <w:rsid w:val="004E723B"/>
    <w:rsid w:val="004E73DF"/>
    <w:rsid w:val="004E7861"/>
    <w:rsid w:val="004E7D0D"/>
    <w:rsid w:val="004F0639"/>
    <w:rsid w:val="004F09F0"/>
    <w:rsid w:val="004F0D91"/>
    <w:rsid w:val="004F2749"/>
    <w:rsid w:val="004F289D"/>
    <w:rsid w:val="004F2E3A"/>
    <w:rsid w:val="004F31F9"/>
    <w:rsid w:val="004F5741"/>
    <w:rsid w:val="004F5C17"/>
    <w:rsid w:val="004F5E63"/>
    <w:rsid w:val="004F62FC"/>
    <w:rsid w:val="004F6A96"/>
    <w:rsid w:val="004F6BC9"/>
    <w:rsid w:val="004F6C80"/>
    <w:rsid w:val="004F6E29"/>
    <w:rsid w:val="004F74E4"/>
    <w:rsid w:val="004F7706"/>
    <w:rsid w:val="0050010F"/>
    <w:rsid w:val="0050030C"/>
    <w:rsid w:val="005004C0"/>
    <w:rsid w:val="00500603"/>
    <w:rsid w:val="005009C3"/>
    <w:rsid w:val="00500BEE"/>
    <w:rsid w:val="00500D19"/>
    <w:rsid w:val="00501315"/>
    <w:rsid w:val="005015B4"/>
    <w:rsid w:val="005016F5"/>
    <w:rsid w:val="00501E70"/>
    <w:rsid w:val="00501EA2"/>
    <w:rsid w:val="0050226A"/>
    <w:rsid w:val="00502683"/>
    <w:rsid w:val="005026E1"/>
    <w:rsid w:val="00502CD6"/>
    <w:rsid w:val="005030B3"/>
    <w:rsid w:val="005036C9"/>
    <w:rsid w:val="00503D48"/>
    <w:rsid w:val="00504B21"/>
    <w:rsid w:val="00504BA5"/>
    <w:rsid w:val="00505792"/>
    <w:rsid w:val="00505C12"/>
    <w:rsid w:val="00507778"/>
    <w:rsid w:val="00507EA4"/>
    <w:rsid w:val="0051034D"/>
    <w:rsid w:val="005108F4"/>
    <w:rsid w:val="00510ADC"/>
    <w:rsid w:val="00510BBD"/>
    <w:rsid w:val="00510BF3"/>
    <w:rsid w:val="00511241"/>
    <w:rsid w:val="005115B2"/>
    <w:rsid w:val="005117A9"/>
    <w:rsid w:val="005117D7"/>
    <w:rsid w:val="00511F5E"/>
    <w:rsid w:val="00512543"/>
    <w:rsid w:val="005125BE"/>
    <w:rsid w:val="0051437D"/>
    <w:rsid w:val="00514504"/>
    <w:rsid w:val="00514FF0"/>
    <w:rsid w:val="005166A5"/>
    <w:rsid w:val="005166DA"/>
    <w:rsid w:val="005202CD"/>
    <w:rsid w:val="00520945"/>
    <w:rsid w:val="00521069"/>
    <w:rsid w:val="0052242A"/>
    <w:rsid w:val="00523497"/>
    <w:rsid w:val="00523924"/>
    <w:rsid w:val="00524001"/>
    <w:rsid w:val="00524492"/>
    <w:rsid w:val="005244E7"/>
    <w:rsid w:val="005247F4"/>
    <w:rsid w:val="00524C6C"/>
    <w:rsid w:val="00524D00"/>
    <w:rsid w:val="00524D8D"/>
    <w:rsid w:val="005254DD"/>
    <w:rsid w:val="0052568A"/>
    <w:rsid w:val="00525DEC"/>
    <w:rsid w:val="00526633"/>
    <w:rsid w:val="005271F3"/>
    <w:rsid w:val="0052725B"/>
    <w:rsid w:val="00530291"/>
    <w:rsid w:val="00530B21"/>
    <w:rsid w:val="0053198A"/>
    <w:rsid w:val="00531D51"/>
    <w:rsid w:val="0053220C"/>
    <w:rsid w:val="00532C3B"/>
    <w:rsid w:val="00533613"/>
    <w:rsid w:val="00533EFA"/>
    <w:rsid w:val="005342E9"/>
    <w:rsid w:val="00534626"/>
    <w:rsid w:val="0053567C"/>
    <w:rsid w:val="00535AD5"/>
    <w:rsid w:val="00535BE5"/>
    <w:rsid w:val="00536494"/>
    <w:rsid w:val="0053658B"/>
    <w:rsid w:val="005366D3"/>
    <w:rsid w:val="00536C7E"/>
    <w:rsid w:val="005403BA"/>
    <w:rsid w:val="00540E73"/>
    <w:rsid w:val="0054155E"/>
    <w:rsid w:val="00541F99"/>
    <w:rsid w:val="005420BD"/>
    <w:rsid w:val="005421B7"/>
    <w:rsid w:val="00542289"/>
    <w:rsid w:val="00542A45"/>
    <w:rsid w:val="00543574"/>
    <w:rsid w:val="00543979"/>
    <w:rsid w:val="00543CC0"/>
    <w:rsid w:val="00543D7B"/>
    <w:rsid w:val="005444BD"/>
    <w:rsid w:val="005444E4"/>
    <w:rsid w:val="00544B79"/>
    <w:rsid w:val="00545A4B"/>
    <w:rsid w:val="00545ADB"/>
    <w:rsid w:val="00545BBC"/>
    <w:rsid w:val="00547E7C"/>
    <w:rsid w:val="00550ABD"/>
    <w:rsid w:val="00551764"/>
    <w:rsid w:val="00551D84"/>
    <w:rsid w:val="005532E6"/>
    <w:rsid w:val="0055418E"/>
    <w:rsid w:val="005542F8"/>
    <w:rsid w:val="00554DE1"/>
    <w:rsid w:val="005555E0"/>
    <w:rsid w:val="00555E97"/>
    <w:rsid w:val="00556793"/>
    <w:rsid w:val="00556A12"/>
    <w:rsid w:val="00556B3C"/>
    <w:rsid w:val="00556D76"/>
    <w:rsid w:val="0055723C"/>
    <w:rsid w:val="00557732"/>
    <w:rsid w:val="00557D89"/>
    <w:rsid w:val="005602A6"/>
    <w:rsid w:val="005623B1"/>
    <w:rsid w:val="005623F0"/>
    <w:rsid w:val="00562623"/>
    <w:rsid w:val="005626AB"/>
    <w:rsid w:val="005632E9"/>
    <w:rsid w:val="005633F5"/>
    <w:rsid w:val="00563638"/>
    <w:rsid w:val="005640C1"/>
    <w:rsid w:val="0056538A"/>
    <w:rsid w:val="0056540A"/>
    <w:rsid w:val="00566F0E"/>
    <w:rsid w:val="00567653"/>
    <w:rsid w:val="00567863"/>
    <w:rsid w:val="00567A0E"/>
    <w:rsid w:val="00570437"/>
    <w:rsid w:val="00570A17"/>
    <w:rsid w:val="00571744"/>
    <w:rsid w:val="00571C69"/>
    <w:rsid w:val="005734EE"/>
    <w:rsid w:val="00573AA0"/>
    <w:rsid w:val="00573E23"/>
    <w:rsid w:val="00575371"/>
    <w:rsid w:val="00577317"/>
    <w:rsid w:val="00577F19"/>
    <w:rsid w:val="00580451"/>
    <w:rsid w:val="005805E5"/>
    <w:rsid w:val="005809A5"/>
    <w:rsid w:val="00581AC6"/>
    <w:rsid w:val="0058223F"/>
    <w:rsid w:val="005822AD"/>
    <w:rsid w:val="005822F1"/>
    <w:rsid w:val="005830D7"/>
    <w:rsid w:val="00583889"/>
    <w:rsid w:val="00586338"/>
    <w:rsid w:val="00586B02"/>
    <w:rsid w:val="00587DA6"/>
    <w:rsid w:val="00590356"/>
    <w:rsid w:val="005912F2"/>
    <w:rsid w:val="00592540"/>
    <w:rsid w:val="00592921"/>
    <w:rsid w:val="00593142"/>
    <w:rsid w:val="00593278"/>
    <w:rsid w:val="005938A1"/>
    <w:rsid w:val="00593DB3"/>
    <w:rsid w:val="005946E9"/>
    <w:rsid w:val="0059472F"/>
    <w:rsid w:val="005958A0"/>
    <w:rsid w:val="00595C63"/>
    <w:rsid w:val="005974D3"/>
    <w:rsid w:val="005975CC"/>
    <w:rsid w:val="005A0525"/>
    <w:rsid w:val="005A06CE"/>
    <w:rsid w:val="005A12C3"/>
    <w:rsid w:val="005A13B9"/>
    <w:rsid w:val="005A14CF"/>
    <w:rsid w:val="005A1892"/>
    <w:rsid w:val="005A1DCF"/>
    <w:rsid w:val="005A1EB0"/>
    <w:rsid w:val="005A2889"/>
    <w:rsid w:val="005A3198"/>
    <w:rsid w:val="005A3815"/>
    <w:rsid w:val="005A3937"/>
    <w:rsid w:val="005A4F36"/>
    <w:rsid w:val="005A6EF4"/>
    <w:rsid w:val="005A7887"/>
    <w:rsid w:val="005A7BD5"/>
    <w:rsid w:val="005B0117"/>
    <w:rsid w:val="005B0197"/>
    <w:rsid w:val="005B01D8"/>
    <w:rsid w:val="005B0A24"/>
    <w:rsid w:val="005B10D8"/>
    <w:rsid w:val="005B1C18"/>
    <w:rsid w:val="005B1C2C"/>
    <w:rsid w:val="005B1D39"/>
    <w:rsid w:val="005B23A4"/>
    <w:rsid w:val="005B2B8D"/>
    <w:rsid w:val="005B3374"/>
    <w:rsid w:val="005B347B"/>
    <w:rsid w:val="005B3B05"/>
    <w:rsid w:val="005B505A"/>
    <w:rsid w:val="005B53F4"/>
    <w:rsid w:val="005B54B8"/>
    <w:rsid w:val="005B5525"/>
    <w:rsid w:val="005B612B"/>
    <w:rsid w:val="005B72FA"/>
    <w:rsid w:val="005C0F2B"/>
    <w:rsid w:val="005C1B2B"/>
    <w:rsid w:val="005C1DC3"/>
    <w:rsid w:val="005C227E"/>
    <w:rsid w:val="005C305F"/>
    <w:rsid w:val="005C38A6"/>
    <w:rsid w:val="005C3917"/>
    <w:rsid w:val="005C4A7D"/>
    <w:rsid w:val="005C6148"/>
    <w:rsid w:val="005C7309"/>
    <w:rsid w:val="005C7615"/>
    <w:rsid w:val="005C7D89"/>
    <w:rsid w:val="005C7DA3"/>
    <w:rsid w:val="005D0E1C"/>
    <w:rsid w:val="005D1932"/>
    <w:rsid w:val="005D1A1D"/>
    <w:rsid w:val="005D1CDE"/>
    <w:rsid w:val="005D1DF9"/>
    <w:rsid w:val="005D22BC"/>
    <w:rsid w:val="005D2D4F"/>
    <w:rsid w:val="005D3014"/>
    <w:rsid w:val="005D3543"/>
    <w:rsid w:val="005D355B"/>
    <w:rsid w:val="005D3E87"/>
    <w:rsid w:val="005D4399"/>
    <w:rsid w:val="005D52DA"/>
    <w:rsid w:val="005D53DF"/>
    <w:rsid w:val="005D5839"/>
    <w:rsid w:val="005D5C28"/>
    <w:rsid w:val="005D6C6D"/>
    <w:rsid w:val="005E0A5C"/>
    <w:rsid w:val="005E0B63"/>
    <w:rsid w:val="005E0C8A"/>
    <w:rsid w:val="005E1486"/>
    <w:rsid w:val="005E17D3"/>
    <w:rsid w:val="005E1B21"/>
    <w:rsid w:val="005E433E"/>
    <w:rsid w:val="005E4764"/>
    <w:rsid w:val="005E4985"/>
    <w:rsid w:val="005E5079"/>
    <w:rsid w:val="005E549C"/>
    <w:rsid w:val="005E58E1"/>
    <w:rsid w:val="005E6728"/>
    <w:rsid w:val="005E68D4"/>
    <w:rsid w:val="005E79C1"/>
    <w:rsid w:val="005E7BB4"/>
    <w:rsid w:val="005F0C4E"/>
    <w:rsid w:val="005F12AA"/>
    <w:rsid w:val="005F1FD7"/>
    <w:rsid w:val="005F32FC"/>
    <w:rsid w:val="005F3BE2"/>
    <w:rsid w:val="005F4308"/>
    <w:rsid w:val="005F4CC6"/>
    <w:rsid w:val="005F5404"/>
    <w:rsid w:val="005F6663"/>
    <w:rsid w:val="005F6841"/>
    <w:rsid w:val="005F71B4"/>
    <w:rsid w:val="005F73B1"/>
    <w:rsid w:val="005F779F"/>
    <w:rsid w:val="005F7B43"/>
    <w:rsid w:val="005F7C00"/>
    <w:rsid w:val="005F7CD8"/>
    <w:rsid w:val="005F7DDE"/>
    <w:rsid w:val="005F7FCF"/>
    <w:rsid w:val="00600B9E"/>
    <w:rsid w:val="00600C3C"/>
    <w:rsid w:val="00601251"/>
    <w:rsid w:val="00601FEA"/>
    <w:rsid w:val="006021B4"/>
    <w:rsid w:val="00602D90"/>
    <w:rsid w:val="00604138"/>
    <w:rsid w:val="0060490A"/>
    <w:rsid w:val="006056EE"/>
    <w:rsid w:val="00605945"/>
    <w:rsid w:val="006059EF"/>
    <w:rsid w:val="00605A99"/>
    <w:rsid w:val="00605EA0"/>
    <w:rsid w:val="006063AE"/>
    <w:rsid w:val="006063D5"/>
    <w:rsid w:val="00606865"/>
    <w:rsid w:val="00607999"/>
    <w:rsid w:val="00607B73"/>
    <w:rsid w:val="006100E5"/>
    <w:rsid w:val="006101C6"/>
    <w:rsid w:val="00610808"/>
    <w:rsid w:val="00610CD1"/>
    <w:rsid w:val="0061123C"/>
    <w:rsid w:val="00611692"/>
    <w:rsid w:val="00611C7E"/>
    <w:rsid w:val="00612BC1"/>
    <w:rsid w:val="00612D3A"/>
    <w:rsid w:val="0061394A"/>
    <w:rsid w:val="00613E1E"/>
    <w:rsid w:val="00614AD2"/>
    <w:rsid w:val="00615438"/>
    <w:rsid w:val="006154D0"/>
    <w:rsid w:val="006159F0"/>
    <w:rsid w:val="00615D66"/>
    <w:rsid w:val="006164EE"/>
    <w:rsid w:val="00620596"/>
    <w:rsid w:val="00621405"/>
    <w:rsid w:val="006220D8"/>
    <w:rsid w:val="006227D1"/>
    <w:rsid w:val="00622A54"/>
    <w:rsid w:val="006230E0"/>
    <w:rsid w:val="006230F3"/>
    <w:rsid w:val="006236B5"/>
    <w:rsid w:val="0062405A"/>
    <w:rsid w:val="0062423A"/>
    <w:rsid w:val="00624F05"/>
    <w:rsid w:val="0062604B"/>
    <w:rsid w:val="0062682A"/>
    <w:rsid w:val="00626BE3"/>
    <w:rsid w:val="00627786"/>
    <w:rsid w:val="00627BDA"/>
    <w:rsid w:val="00630A1F"/>
    <w:rsid w:val="00631375"/>
    <w:rsid w:val="0063185C"/>
    <w:rsid w:val="00632093"/>
    <w:rsid w:val="006333F7"/>
    <w:rsid w:val="00633521"/>
    <w:rsid w:val="0063377D"/>
    <w:rsid w:val="0063415B"/>
    <w:rsid w:val="00634181"/>
    <w:rsid w:val="006346BF"/>
    <w:rsid w:val="006351EE"/>
    <w:rsid w:val="00635381"/>
    <w:rsid w:val="00635B25"/>
    <w:rsid w:val="00635CC9"/>
    <w:rsid w:val="00635EF0"/>
    <w:rsid w:val="00635F98"/>
    <w:rsid w:val="00635FDC"/>
    <w:rsid w:val="00636244"/>
    <w:rsid w:val="00636AA8"/>
    <w:rsid w:val="00636C47"/>
    <w:rsid w:val="00637153"/>
    <w:rsid w:val="0063771A"/>
    <w:rsid w:val="00640EAC"/>
    <w:rsid w:val="00641D12"/>
    <w:rsid w:val="00642622"/>
    <w:rsid w:val="006433A6"/>
    <w:rsid w:val="00643979"/>
    <w:rsid w:val="006442C3"/>
    <w:rsid w:val="00644945"/>
    <w:rsid w:val="006449D6"/>
    <w:rsid w:val="00644A05"/>
    <w:rsid w:val="00645E2A"/>
    <w:rsid w:val="00645E39"/>
    <w:rsid w:val="00646765"/>
    <w:rsid w:val="006467FB"/>
    <w:rsid w:val="00646EDB"/>
    <w:rsid w:val="00646F20"/>
    <w:rsid w:val="006477F7"/>
    <w:rsid w:val="00647803"/>
    <w:rsid w:val="00647E0B"/>
    <w:rsid w:val="00650F4F"/>
    <w:rsid w:val="00652CAB"/>
    <w:rsid w:val="00653A72"/>
    <w:rsid w:val="00654075"/>
    <w:rsid w:val="0065429F"/>
    <w:rsid w:val="0065499C"/>
    <w:rsid w:val="00655679"/>
    <w:rsid w:val="00655821"/>
    <w:rsid w:val="00655BA9"/>
    <w:rsid w:val="00656C49"/>
    <w:rsid w:val="0065743C"/>
    <w:rsid w:val="00657B40"/>
    <w:rsid w:val="00657E09"/>
    <w:rsid w:val="00660432"/>
    <w:rsid w:val="0066083C"/>
    <w:rsid w:val="00660D27"/>
    <w:rsid w:val="00661198"/>
    <w:rsid w:val="00661866"/>
    <w:rsid w:val="00661D99"/>
    <w:rsid w:val="00662CD4"/>
    <w:rsid w:val="00663BFF"/>
    <w:rsid w:val="00663D8F"/>
    <w:rsid w:val="00664C71"/>
    <w:rsid w:val="00665A70"/>
    <w:rsid w:val="0066658B"/>
    <w:rsid w:val="00666E1B"/>
    <w:rsid w:val="006673FD"/>
    <w:rsid w:val="00667D5C"/>
    <w:rsid w:val="00670473"/>
    <w:rsid w:val="00670A26"/>
    <w:rsid w:val="00670E33"/>
    <w:rsid w:val="00670F44"/>
    <w:rsid w:val="00671038"/>
    <w:rsid w:val="0067116E"/>
    <w:rsid w:val="00671B90"/>
    <w:rsid w:val="00673166"/>
    <w:rsid w:val="0067341F"/>
    <w:rsid w:val="00673694"/>
    <w:rsid w:val="0067457E"/>
    <w:rsid w:val="00674B32"/>
    <w:rsid w:val="00675BAF"/>
    <w:rsid w:val="006760ED"/>
    <w:rsid w:val="00676113"/>
    <w:rsid w:val="006775D6"/>
    <w:rsid w:val="0068015B"/>
    <w:rsid w:val="00680A7B"/>
    <w:rsid w:val="00680BC1"/>
    <w:rsid w:val="00681483"/>
    <w:rsid w:val="00681B21"/>
    <w:rsid w:val="006824B9"/>
    <w:rsid w:val="00682FDD"/>
    <w:rsid w:val="006839E7"/>
    <w:rsid w:val="006842B8"/>
    <w:rsid w:val="006842FA"/>
    <w:rsid w:val="0068466A"/>
    <w:rsid w:val="006849B8"/>
    <w:rsid w:val="00685DD5"/>
    <w:rsid w:val="0068608B"/>
    <w:rsid w:val="00686896"/>
    <w:rsid w:val="0068699A"/>
    <w:rsid w:val="00686E7A"/>
    <w:rsid w:val="006870A7"/>
    <w:rsid w:val="006877EA"/>
    <w:rsid w:val="00687C9F"/>
    <w:rsid w:val="0069033D"/>
    <w:rsid w:val="0069108B"/>
    <w:rsid w:val="006911FA"/>
    <w:rsid w:val="00691359"/>
    <w:rsid w:val="006913E8"/>
    <w:rsid w:val="00691944"/>
    <w:rsid w:val="00691B03"/>
    <w:rsid w:val="00691D00"/>
    <w:rsid w:val="006928ED"/>
    <w:rsid w:val="00692ECA"/>
    <w:rsid w:val="00692FE7"/>
    <w:rsid w:val="0069361F"/>
    <w:rsid w:val="00693BA8"/>
    <w:rsid w:val="00695176"/>
    <w:rsid w:val="0069531F"/>
    <w:rsid w:val="006953B3"/>
    <w:rsid w:val="006959F3"/>
    <w:rsid w:val="00695FFB"/>
    <w:rsid w:val="0069616B"/>
    <w:rsid w:val="006977ED"/>
    <w:rsid w:val="00697A20"/>
    <w:rsid w:val="00697A71"/>
    <w:rsid w:val="006A00C6"/>
    <w:rsid w:val="006A1A7D"/>
    <w:rsid w:val="006A1DA3"/>
    <w:rsid w:val="006A1F77"/>
    <w:rsid w:val="006A29DC"/>
    <w:rsid w:val="006A2C7C"/>
    <w:rsid w:val="006A32D9"/>
    <w:rsid w:val="006A4717"/>
    <w:rsid w:val="006A5BE7"/>
    <w:rsid w:val="006A65F0"/>
    <w:rsid w:val="006A75D6"/>
    <w:rsid w:val="006A785B"/>
    <w:rsid w:val="006A7B8F"/>
    <w:rsid w:val="006A7E58"/>
    <w:rsid w:val="006B02DD"/>
    <w:rsid w:val="006B0655"/>
    <w:rsid w:val="006B0AEC"/>
    <w:rsid w:val="006B1302"/>
    <w:rsid w:val="006B1D43"/>
    <w:rsid w:val="006B20D4"/>
    <w:rsid w:val="006B2711"/>
    <w:rsid w:val="006B2D3C"/>
    <w:rsid w:val="006B3249"/>
    <w:rsid w:val="006B34DD"/>
    <w:rsid w:val="006B4DAC"/>
    <w:rsid w:val="006B4E7D"/>
    <w:rsid w:val="006B51D3"/>
    <w:rsid w:val="006B5844"/>
    <w:rsid w:val="006B5C74"/>
    <w:rsid w:val="006B5E68"/>
    <w:rsid w:val="006B5F5E"/>
    <w:rsid w:val="006B6584"/>
    <w:rsid w:val="006B672D"/>
    <w:rsid w:val="006B790B"/>
    <w:rsid w:val="006B7D0A"/>
    <w:rsid w:val="006B7ED5"/>
    <w:rsid w:val="006C04BE"/>
    <w:rsid w:val="006C0525"/>
    <w:rsid w:val="006C06E0"/>
    <w:rsid w:val="006C071C"/>
    <w:rsid w:val="006C1D74"/>
    <w:rsid w:val="006C2320"/>
    <w:rsid w:val="006C258A"/>
    <w:rsid w:val="006C3CB3"/>
    <w:rsid w:val="006C4A9D"/>
    <w:rsid w:val="006C5389"/>
    <w:rsid w:val="006C53F8"/>
    <w:rsid w:val="006C59DF"/>
    <w:rsid w:val="006C73B0"/>
    <w:rsid w:val="006C7FEA"/>
    <w:rsid w:val="006D0867"/>
    <w:rsid w:val="006D0CA7"/>
    <w:rsid w:val="006D115C"/>
    <w:rsid w:val="006D292F"/>
    <w:rsid w:val="006D2BBA"/>
    <w:rsid w:val="006D3055"/>
    <w:rsid w:val="006D4039"/>
    <w:rsid w:val="006D4777"/>
    <w:rsid w:val="006D4DC2"/>
    <w:rsid w:val="006D5803"/>
    <w:rsid w:val="006D61B6"/>
    <w:rsid w:val="006D6229"/>
    <w:rsid w:val="006D630F"/>
    <w:rsid w:val="006D65CA"/>
    <w:rsid w:val="006D69BA"/>
    <w:rsid w:val="006D69E7"/>
    <w:rsid w:val="006D6C85"/>
    <w:rsid w:val="006D6D8E"/>
    <w:rsid w:val="006D7810"/>
    <w:rsid w:val="006E047D"/>
    <w:rsid w:val="006E0ABA"/>
    <w:rsid w:val="006E1311"/>
    <w:rsid w:val="006E30D9"/>
    <w:rsid w:val="006E3810"/>
    <w:rsid w:val="006E3C37"/>
    <w:rsid w:val="006E56C6"/>
    <w:rsid w:val="006E59E3"/>
    <w:rsid w:val="006E5B14"/>
    <w:rsid w:val="006E5D02"/>
    <w:rsid w:val="006E658F"/>
    <w:rsid w:val="006E6C67"/>
    <w:rsid w:val="006E7145"/>
    <w:rsid w:val="006E719A"/>
    <w:rsid w:val="006E7B16"/>
    <w:rsid w:val="006E7C0C"/>
    <w:rsid w:val="006F028E"/>
    <w:rsid w:val="006F0D38"/>
    <w:rsid w:val="006F0E0F"/>
    <w:rsid w:val="006F10B5"/>
    <w:rsid w:val="006F17D6"/>
    <w:rsid w:val="006F1C9C"/>
    <w:rsid w:val="006F25E3"/>
    <w:rsid w:val="006F29B8"/>
    <w:rsid w:val="006F2C33"/>
    <w:rsid w:val="006F31E7"/>
    <w:rsid w:val="006F52DB"/>
    <w:rsid w:val="006F6518"/>
    <w:rsid w:val="006F7D6F"/>
    <w:rsid w:val="007002F7"/>
    <w:rsid w:val="00700ED3"/>
    <w:rsid w:val="00701895"/>
    <w:rsid w:val="00701B6F"/>
    <w:rsid w:val="00703B21"/>
    <w:rsid w:val="00703FDD"/>
    <w:rsid w:val="0070448B"/>
    <w:rsid w:val="007045A0"/>
    <w:rsid w:val="00704FB7"/>
    <w:rsid w:val="007053C6"/>
    <w:rsid w:val="00706FA3"/>
    <w:rsid w:val="007071E0"/>
    <w:rsid w:val="007101B4"/>
    <w:rsid w:val="00710684"/>
    <w:rsid w:val="0071172E"/>
    <w:rsid w:val="00711802"/>
    <w:rsid w:val="007130D7"/>
    <w:rsid w:val="007135CE"/>
    <w:rsid w:val="00714092"/>
    <w:rsid w:val="00714158"/>
    <w:rsid w:val="007145A7"/>
    <w:rsid w:val="007145E1"/>
    <w:rsid w:val="00714BD3"/>
    <w:rsid w:val="00714C74"/>
    <w:rsid w:val="00715642"/>
    <w:rsid w:val="00716F79"/>
    <w:rsid w:val="007172B8"/>
    <w:rsid w:val="007208B6"/>
    <w:rsid w:val="00721CDF"/>
    <w:rsid w:val="00722902"/>
    <w:rsid w:val="007236CA"/>
    <w:rsid w:val="007239DB"/>
    <w:rsid w:val="00724204"/>
    <w:rsid w:val="007242F8"/>
    <w:rsid w:val="00724CA1"/>
    <w:rsid w:val="00724CBD"/>
    <w:rsid w:val="00725A1F"/>
    <w:rsid w:val="00727160"/>
    <w:rsid w:val="007278AB"/>
    <w:rsid w:val="00727942"/>
    <w:rsid w:val="007279CF"/>
    <w:rsid w:val="00730CCE"/>
    <w:rsid w:val="0073148F"/>
    <w:rsid w:val="00731513"/>
    <w:rsid w:val="00732292"/>
    <w:rsid w:val="0073232D"/>
    <w:rsid w:val="007323B3"/>
    <w:rsid w:val="00732686"/>
    <w:rsid w:val="00732BFD"/>
    <w:rsid w:val="00732EA4"/>
    <w:rsid w:val="00733349"/>
    <w:rsid w:val="00734A29"/>
    <w:rsid w:val="007355BE"/>
    <w:rsid w:val="00736124"/>
    <w:rsid w:val="00736403"/>
    <w:rsid w:val="0073766C"/>
    <w:rsid w:val="0073781F"/>
    <w:rsid w:val="00737BAD"/>
    <w:rsid w:val="007403CE"/>
    <w:rsid w:val="00740A69"/>
    <w:rsid w:val="00740D93"/>
    <w:rsid w:val="0074158F"/>
    <w:rsid w:val="00741B5C"/>
    <w:rsid w:val="007426B8"/>
    <w:rsid w:val="00742743"/>
    <w:rsid w:val="00742D2E"/>
    <w:rsid w:val="00745377"/>
    <w:rsid w:val="007466E0"/>
    <w:rsid w:val="00750542"/>
    <w:rsid w:val="00750984"/>
    <w:rsid w:val="007518FF"/>
    <w:rsid w:val="00751E60"/>
    <w:rsid w:val="00752924"/>
    <w:rsid w:val="0075298F"/>
    <w:rsid w:val="00753045"/>
    <w:rsid w:val="00753244"/>
    <w:rsid w:val="00753561"/>
    <w:rsid w:val="00753DDF"/>
    <w:rsid w:val="0075413D"/>
    <w:rsid w:val="007552C6"/>
    <w:rsid w:val="0075567D"/>
    <w:rsid w:val="0075739D"/>
    <w:rsid w:val="00760D8B"/>
    <w:rsid w:val="00761995"/>
    <w:rsid w:val="00761C4F"/>
    <w:rsid w:val="007623A6"/>
    <w:rsid w:val="007633C2"/>
    <w:rsid w:val="00763E85"/>
    <w:rsid w:val="007643DE"/>
    <w:rsid w:val="00764ED0"/>
    <w:rsid w:val="00765604"/>
    <w:rsid w:val="0076642E"/>
    <w:rsid w:val="00767197"/>
    <w:rsid w:val="00770145"/>
    <w:rsid w:val="007703D0"/>
    <w:rsid w:val="00770ED3"/>
    <w:rsid w:val="007722D5"/>
    <w:rsid w:val="007723CC"/>
    <w:rsid w:val="00772FC7"/>
    <w:rsid w:val="007735FB"/>
    <w:rsid w:val="007738D4"/>
    <w:rsid w:val="00773A54"/>
    <w:rsid w:val="00774298"/>
    <w:rsid w:val="00774921"/>
    <w:rsid w:val="00774B36"/>
    <w:rsid w:val="00774CA3"/>
    <w:rsid w:val="00776819"/>
    <w:rsid w:val="0077695E"/>
    <w:rsid w:val="00776A33"/>
    <w:rsid w:val="00776A8D"/>
    <w:rsid w:val="00776DCC"/>
    <w:rsid w:val="0077741B"/>
    <w:rsid w:val="00777A07"/>
    <w:rsid w:val="0078080E"/>
    <w:rsid w:val="00780849"/>
    <w:rsid w:val="00780DD0"/>
    <w:rsid w:val="00780FC4"/>
    <w:rsid w:val="00781F8C"/>
    <w:rsid w:val="007825A1"/>
    <w:rsid w:val="00783DD9"/>
    <w:rsid w:val="0078521B"/>
    <w:rsid w:val="0078553F"/>
    <w:rsid w:val="00785A7B"/>
    <w:rsid w:val="007864C0"/>
    <w:rsid w:val="007867A0"/>
    <w:rsid w:val="007867A5"/>
    <w:rsid w:val="0078703F"/>
    <w:rsid w:val="00787237"/>
    <w:rsid w:val="0078783B"/>
    <w:rsid w:val="00787A1A"/>
    <w:rsid w:val="00787B12"/>
    <w:rsid w:val="00787D77"/>
    <w:rsid w:val="0079071C"/>
    <w:rsid w:val="007913A7"/>
    <w:rsid w:val="00791D68"/>
    <w:rsid w:val="00792EAA"/>
    <w:rsid w:val="00793081"/>
    <w:rsid w:val="007938D7"/>
    <w:rsid w:val="0079449F"/>
    <w:rsid w:val="00794F9C"/>
    <w:rsid w:val="007960E8"/>
    <w:rsid w:val="0079656B"/>
    <w:rsid w:val="007966BA"/>
    <w:rsid w:val="00797275"/>
    <w:rsid w:val="00797BA3"/>
    <w:rsid w:val="00797C8D"/>
    <w:rsid w:val="00797FB1"/>
    <w:rsid w:val="007A0901"/>
    <w:rsid w:val="007A0C74"/>
    <w:rsid w:val="007A0F16"/>
    <w:rsid w:val="007A12EB"/>
    <w:rsid w:val="007A147F"/>
    <w:rsid w:val="007A1B3F"/>
    <w:rsid w:val="007A3578"/>
    <w:rsid w:val="007A42FD"/>
    <w:rsid w:val="007A4A5F"/>
    <w:rsid w:val="007A4D4C"/>
    <w:rsid w:val="007A4DE3"/>
    <w:rsid w:val="007A66C7"/>
    <w:rsid w:val="007A6E7D"/>
    <w:rsid w:val="007B0054"/>
    <w:rsid w:val="007B0E29"/>
    <w:rsid w:val="007B0EB8"/>
    <w:rsid w:val="007B0EEF"/>
    <w:rsid w:val="007B269E"/>
    <w:rsid w:val="007B304E"/>
    <w:rsid w:val="007B30F9"/>
    <w:rsid w:val="007B4464"/>
    <w:rsid w:val="007B4DC3"/>
    <w:rsid w:val="007B5279"/>
    <w:rsid w:val="007B53AF"/>
    <w:rsid w:val="007B5F22"/>
    <w:rsid w:val="007B62BC"/>
    <w:rsid w:val="007B6D1F"/>
    <w:rsid w:val="007B6F74"/>
    <w:rsid w:val="007B757D"/>
    <w:rsid w:val="007B7EE9"/>
    <w:rsid w:val="007C0657"/>
    <w:rsid w:val="007C06C6"/>
    <w:rsid w:val="007C06FE"/>
    <w:rsid w:val="007C0A3B"/>
    <w:rsid w:val="007C1653"/>
    <w:rsid w:val="007C1F12"/>
    <w:rsid w:val="007C254E"/>
    <w:rsid w:val="007C334B"/>
    <w:rsid w:val="007C3850"/>
    <w:rsid w:val="007C3CF0"/>
    <w:rsid w:val="007C4730"/>
    <w:rsid w:val="007C5272"/>
    <w:rsid w:val="007C5369"/>
    <w:rsid w:val="007C5781"/>
    <w:rsid w:val="007C71C2"/>
    <w:rsid w:val="007C7315"/>
    <w:rsid w:val="007C790A"/>
    <w:rsid w:val="007D02EE"/>
    <w:rsid w:val="007D05CA"/>
    <w:rsid w:val="007D1209"/>
    <w:rsid w:val="007D20A1"/>
    <w:rsid w:val="007D30F3"/>
    <w:rsid w:val="007D3CA6"/>
    <w:rsid w:val="007D3EFD"/>
    <w:rsid w:val="007D4428"/>
    <w:rsid w:val="007D480B"/>
    <w:rsid w:val="007D4B83"/>
    <w:rsid w:val="007D51A9"/>
    <w:rsid w:val="007D5A33"/>
    <w:rsid w:val="007D5A40"/>
    <w:rsid w:val="007D5F34"/>
    <w:rsid w:val="007D64D3"/>
    <w:rsid w:val="007D6554"/>
    <w:rsid w:val="007D70DE"/>
    <w:rsid w:val="007D7347"/>
    <w:rsid w:val="007D7856"/>
    <w:rsid w:val="007D7B30"/>
    <w:rsid w:val="007E05B1"/>
    <w:rsid w:val="007E0838"/>
    <w:rsid w:val="007E09BA"/>
    <w:rsid w:val="007E0E94"/>
    <w:rsid w:val="007E1594"/>
    <w:rsid w:val="007E175D"/>
    <w:rsid w:val="007E1B94"/>
    <w:rsid w:val="007E212A"/>
    <w:rsid w:val="007E2B32"/>
    <w:rsid w:val="007E3304"/>
    <w:rsid w:val="007E3DBB"/>
    <w:rsid w:val="007E3EBE"/>
    <w:rsid w:val="007E4BAB"/>
    <w:rsid w:val="007E568E"/>
    <w:rsid w:val="007E5851"/>
    <w:rsid w:val="007E5C64"/>
    <w:rsid w:val="007E6066"/>
    <w:rsid w:val="007E63F5"/>
    <w:rsid w:val="007E6905"/>
    <w:rsid w:val="007E72F0"/>
    <w:rsid w:val="007E73C6"/>
    <w:rsid w:val="007E74E6"/>
    <w:rsid w:val="007F0533"/>
    <w:rsid w:val="007F0813"/>
    <w:rsid w:val="007F08D6"/>
    <w:rsid w:val="007F0B53"/>
    <w:rsid w:val="007F1F77"/>
    <w:rsid w:val="007F236A"/>
    <w:rsid w:val="007F2E77"/>
    <w:rsid w:val="007F333A"/>
    <w:rsid w:val="007F4483"/>
    <w:rsid w:val="007F6133"/>
    <w:rsid w:val="007F645A"/>
    <w:rsid w:val="007F6722"/>
    <w:rsid w:val="007F6B5F"/>
    <w:rsid w:val="007F7293"/>
    <w:rsid w:val="007F74BC"/>
    <w:rsid w:val="008003EC"/>
    <w:rsid w:val="00801479"/>
    <w:rsid w:val="00802946"/>
    <w:rsid w:val="008029ED"/>
    <w:rsid w:val="00802EEB"/>
    <w:rsid w:val="008035CF"/>
    <w:rsid w:val="0080371A"/>
    <w:rsid w:val="00803B53"/>
    <w:rsid w:val="008048F3"/>
    <w:rsid w:val="00805BAA"/>
    <w:rsid w:val="008077D8"/>
    <w:rsid w:val="008077E6"/>
    <w:rsid w:val="00810357"/>
    <w:rsid w:val="008103ED"/>
    <w:rsid w:val="00810419"/>
    <w:rsid w:val="00811109"/>
    <w:rsid w:val="008111A0"/>
    <w:rsid w:val="0081262B"/>
    <w:rsid w:val="00813514"/>
    <w:rsid w:val="008135A6"/>
    <w:rsid w:val="00814458"/>
    <w:rsid w:val="008144A8"/>
    <w:rsid w:val="00814DC3"/>
    <w:rsid w:val="00814FD9"/>
    <w:rsid w:val="00815176"/>
    <w:rsid w:val="00816437"/>
    <w:rsid w:val="00817369"/>
    <w:rsid w:val="00817535"/>
    <w:rsid w:val="008205CE"/>
    <w:rsid w:val="00820813"/>
    <w:rsid w:val="008214A6"/>
    <w:rsid w:val="00821E54"/>
    <w:rsid w:val="008229A0"/>
    <w:rsid w:val="00823523"/>
    <w:rsid w:val="008239F0"/>
    <w:rsid w:val="00824671"/>
    <w:rsid w:val="00824845"/>
    <w:rsid w:val="00825449"/>
    <w:rsid w:val="008260D6"/>
    <w:rsid w:val="00826D56"/>
    <w:rsid w:val="00826FD9"/>
    <w:rsid w:val="008270F2"/>
    <w:rsid w:val="00830468"/>
    <w:rsid w:val="008308AC"/>
    <w:rsid w:val="00830917"/>
    <w:rsid w:val="008309CA"/>
    <w:rsid w:val="00832144"/>
    <w:rsid w:val="008326FA"/>
    <w:rsid w:val="00832B4A"/>
    <w:rsid w:val="008333AA"/>
    <w:rsid w:val="00833B69"/>
    <w:rsid w:val="00834423"/>
    <w:rsid w:val="00834E58"/>
    <w:rsid w:val="0083689E"/>
    <w:rsid w:val="008370B3"/>
    <w:rsid w:val="0083721B"/>
    <w:rsid w:val="00837811"/>
    <w:rsid w:val="00837F3F"/>
    <w:rsid w:val="00840099"/>
    <w:rsid w:val="00840795"/>
    <w:rsid w:val="0084092C"/>
    <w:rsid w:val="00841541"/>
    <w:rsid w:val="00841C73"/>
    <w:rsid w:val="00841C79"/>
    <w:rsid w:val="00841CE8"/>
    <w:rsid w:val="00841EE5"/>
    <w:rsid w:val="008426D8"/>
    <w:rsid w:val="0084298B"/>
    <w:rsid w:val="00842CFF"/>
    <w:rsid w:val="00842F2C"/>
    <w:rsid w:val="00843005"/>
    <w:rsid w:val="008430C6"/>
    <w:rsid w:val="00843269"/>
    <w:rsid w:val="008434CE"/>
    <w:rsid w:val="00843E4C"/>
    <w:rsid w:val="00844CA4"/>
    <w:rsid w:val="00844E76"/>
    <w:rsid w:val="00844E96"/>
    <w:rsid w:val="00845A35"/>
    <w:rsid w:val="008460D4"/>
    <w:rsid w:val="0084697E"/>
    <w:rsid w:val="008469F2"/>
    <w:rsid w:val="00846AC1"/>
    <w:rsid w:val="00846C8D"/>
    <w:rsid w:val="0084735D"/>
    <w:rsid w:val="0085087A"/>
    <w:rsid w:val="00850A27"/>
    <w:rsid w:val="00851043"/>
    <w:rsid w:val="008510D4"/>
    <w:rsid w:val="00851314"/>
    <w:rsid w:val="00851861"/>
    <w:rsid w:val="0085187B"/>
    <w:rsid w:val="00852F3F"/>
    <w:rsid w:val="00853548"/>
    <w:rsid w:val="0085392C"/>
    <w:rsid w:val="0085445C"/>
    <w:rsid w:val="008544DD"/>
    <w:rsid w:val="00855009"/>
    <w:rsid w:val="008550A6"/>
    <w:rsid w:val="008556BD"/>
    <w:rsid w:val="0085686E"/>
    <w:rsid w:val="00856EDF"/>
    <w:rsid w:val="00856FF7"/>
    <w:rsid w:val="008576DC"/>
    <w:rsid w:val="00857D89"/>
    <w:rsid w:val="008604CC"/>
    <w:rsid w:val="008613FF"/>
    <w:rsid w:val="00861514"/>
    <w:rsid w:val="008619A2"/>
    <w:rsid w:val="008620AE"/>
    <w:rsid w:val="00862565"/>
    <w:rsid w:val="00862A4C"/>
    <w:rsid w:val="008638D3"/>
    <w:rsid w:val="00863CC0"/>
    <w:rsid w:val="00864148"/>
    <w:rsid w:val="00864A45"/>
    <w:rsid w:val="00864A79"/>
    <w:rsid w:val="008651AE"/>
    <w:rsid w:val="008663E2"/>
    <w:rsid w:val="00866F01"/>
    <w:rsid w:val="008674EA"/>
    <w:rsid w:val="008708BF"/>
    <w:rsid w:val="00871F75"/>
    <w:rsid w:val="008721D2"/>
    <w:rsid w:val="00872F74"/>
    <w:rsid w:val="00874208"/>
    <w:rsid w:val="00874E75"/>
    <w:rsid w:val="00875178"/>
    <w:rsid w:val="00875C9C"/>
    <w:rsid w:val="00875E95"/>
    <w:rsid w:val="00876373"/>
    <w:rsid w:val="00876CEC"/>
    <w:rsid w:val="00880382"/>
    <w:rsid w:val="00880A31"/>
    <w:rsid w:val="00881378"/>
    <w:rsid w:val="008817AB"/>
    <w:rsid w:val="00881EBF"/>
    <w:rsid w:val="00882F24"/>
    <w:rsid w:val="008838F1"/>
    <w:rsid w:val="00883D00"/>
    <w:rsid w:val="00884436"/>
    <w:rsid w:val="00885FCF"/>
    <w:rsid w:val="00886200"/>
    <w:rsid w:val="00887193"/>
    <w:rsid w:val="00887366"/>
    <w:rsid w:val="008875CE"/>
    <w:rsid w:val="00887C83"/>
    <w:rsid w:val="00887DD3"/>
    <w:rsid w:val="00887E40"/>
    <w:rsid w:val="00887FDB"/>
    <w:rsid w:val="00890101"/>
    <w:rsid w:val="0089092F"/>
    <w:rsid w:val="00891BA5"/>
    <w:rsid w:val="00892D5B"/>
    <w:rsid w:val="008939F0"/>
    <w:rsid w:val="00893B1C"/>
    <w:rsid w:val="00893FD5"/>
    <w:rsid w:val="0089412C"/>
    <w:rsid w:val="00894E79"/>
    <w:rsid w:val="00895673"/>
    <w:rsid w:val="0089591D"/>
    <w:rsid w:val="00895B31"/>
    <w:rsid w:val="00896329"/>
    <w:rsid w:val="00896929"/>
    <w:rsid w:val="008970CA"/>
    <w:rsid w:val="008A0503"/>
    <w:rsid w:val="008A1444"/>
    <w:rsid w:val="008A185E"/>
    <w:rsid w:val="008A2BFD"/>
    <w:rsid w:val="008A3035"/>
    <w:rsid w:val="008A3AF8"/>
    <w:rsid w:val="008A4C5F"/>
    <w:rsid w:val="008A5784"/>
    <w:rsid w:val="008A58DB"/>
    <w:rsid w:val="008A660E"/>
    <w:rsid w:val="008A6DE0"/>
    <w:rsid w:val="008A78C3"/>
    <w:rsid w:val="008A7AC3"/>
    <w:rsid w:val="008A7B08"/>
    <w:rsid w:val="008A7DC7"/>
    <w:rsid w:val="008B03C9"/>
    <w:rsid w:val="008B078E"/>
    <w:rsid w:val="008B0BAE"/>
    <w:rsid w:val="008B0EC7"/>
    <w:rsid w:val="008B1F74"/>
    <w:rsid w:val="008B2619"/>
    <w:rsid w:val="008B2968"/>
    <w:rsid w:val="008B2BC3"/>
    <w:rsid w:val="008B3666"/>
    <w:rsid w:val="008B3668"/>
    <w:rsid w:val="008B3994"/>
    <w:rsid w:val="008B39EA"/>
    <w:rsid w:val="008B49EE"/>
    <w:rsid w:val="008B4F97"/>
    <w:rsid w:val="008B5590"/>
    <w:rsid w:val="008B5F51"/>
    <w:rsid w:val="008B63E7"/>
    <w:rsid w:val="008B66DA"/>
    <w:rsid w:val="008B6CA0"/>
    <w:rsid w:val="008B6E7E"/>
    <w:rsid w:val="008B7E06"/>
    <w:rsid w:val="008C0C1C"/>
    <w:rsid w:val="008C10AB"/>
    <w:rsid w:val="008C172D"/>
    <w:rsid w:val="008C1A9C"/>
    <w:rsid w:val="008C1B8E"/>
    <w:rsid w:val="008C23F9"/>
    <w:rsid w:val="008C2428"/>
    <w:rsid w:val="008C2439"/>
    <w:rsid w:val="008C2D29"/>
    <w:rsid w:val="008C2F1F"/>
    <w:rsid w:val="008C417D"/>
    <w:rsid w:val="008C4215"/>
    <w:rsid w:val="008C4980"/>
    <w:rsid w:val="008C498B"/>
    <w:rsid w:val="008C5AC3"/>
    <w:rsid w:val="008C5BE1"/>
    <w:rsid w:val="008C65EE"/>
    <w:rsid w:val="008C7762"/>
    <w:rsid w:val="008C7F9F"/>
    <w:rsid w:val="008D04F0"/>
    <w:rsid w:val="008D0755"/>
    <w:rsid w:val="008D07E0"/>
    <w:rsid w:val="008D21E0"/>
    <w:rsid w:val="008D2281"/>
    <w:rsid w:val="008D228E"/>
    <w:rsid w:val="008D22B2"/>
    <w:rsid w:val="008D2F24"/>
    <w:rsid w:val="008D328F"/>
    <w:rsid w:val="008D32C6"/>
    <w:rsid w:val="008D3A77"/>
    <w:rsid w:val="008D402D"/>
    <w:rsid w:val="008D42DF"/>
    <w:rsid w:val="008D4D7E"/>
    <w:rsid w:val="008D50F2"/>
    <w:rsid w:val="008D534E"/>
    <w:rsid w:val="008D6769"/>
    <w:rsid w:val="008D69C9"/>
    <w:rsid w:val="008D6C3E"/>
    <w:rsid w:val="008D6DFE"/>
    <w:rsid w:val="008D792B"/>
    <w:rsid w:val="008E081B"/>
    <w:rsid w:val="008E0CD2"/>
    <w:rsid w:val="008E15B7"/>
    <w:rsid w:val="008E2314"/>
    <w:rsid w:val="008E2FC9"/>
    <w:rsid w:val="008E3A15"/>
    <w:rsid w:val="008E441B"/>
    <w:rsid w:val="008E45F3"/>
    <w:rsid w:val="008E468A"/>
    <w:rsid w:val="008E4E38"/>
    <w:rsid w:val="008E5154"/>
    <w:rsid w:val="008E54E8"/>
    <w:rsid w:val="008E596F"/>
    <w:rsid w:val="008E609F"/>
    <w:rsid w:val="008E67DD"/>
    <w:rsid w:val="008E6C6D"/>
    <w:rsid w:val="008E6E33"/>
    <w:rsid w:val="008E7D0B"/>
    <w:rsid w:val="008E7DF7"/>
    <w:rsid w:val="008F14C1"/>
    <w:rsid w:val="008F1816"/>
    <w:rsid w:val="008F21B0"/>
    <w:rsid w:val="008F2484"/>
    <w:rsid w:val="008F321C"/>
    <w:rsid w:val="008F33E9"/>
    <w:rsid w:val="008F5044"/>
    <w:rsid w:val="008F568B"/>
    <w:rsid w:val="008F6E19"/>
    <w:rsid w:val="008F6ED7"/>
    <w:rsid w:val="008F7111"/>
    <w:rsid w:val="008F784A"/>
    <w:rsid w:val="008F7865"/>
    <w:rsid w:val="008F78D0"/>
    <w:rsid w:val="008F7BE6"/>
    <w:rsid w:val="00900584"/>
    <w:rsid w:val="009007D0"/>
    <w:rsid w:val="00900E43"/>
    <w:rsid w:val="009014B8"/>
    <w:rsid w:val="00902005"/>
    <w:rsid w:val="009020DB"/>
    <w:rsid w:val="009027F1"/>
    <w:rsid w:val="009037F6"/>
    <w:rsid w:val="009047BD"/>
    <w:rsid w:val="0090659E"/>
    <w:rsid w:val="009066F0"/>
    <w:rsid w:val="00906BE2"/>
    <w:rsid w:val="009075BB"/>
    <w:rsid w:val="009078C5"/>
    <w:rsid w:val="00907952"/>
    <w:rsid w:val="00910AC7"/>
    <w:rsid w:val="009110FE"/>
    <w:rsid w:val="00911A20"/>
    <w:rsid w:val="00911F9E"/>
    <w:rsid w:val="009126DB"/>
    <w:rsid w:val="00912989"/>
    <w:rsid w:val="0091303C"/>
    <w:rsid w:val="0091354E"/>
    <w:rsid w:val="00913933"/>
    <w:rsid w:val="00913DF2"/>
    <w:rsid w:val="009153D2"/>
    <w:rsid w:val="00915653"/>
    <w:rsid w:val="0091639D"/>
    <w:rsid w:val="00917046"/>
    <w:rsid w:val="00917D57"/>
    <w:rsid w:val="00917E5F"/>
    <w:rsid w:val="00920302"/>
    <w:rsid w:val="00921F2A"/>
    <w:rsid w:val="009228B6"/>
    <w:rsid w:val="00922AC7"/>
    <w:rsid w:val="00922DB4"/>
    <w:rsid w:val="00923324"/>
    <w:rsid w:val="00923D67"/>
    <w:rsid w:val="009241F0"/>
    <w:rsid w:val="00924404"/>
    <w:rsid w:val="0092481C"/>
    <w:rsid w:val="00924DC0"/>
    <w:rsid w:val="00925214"/>
    <w:rsid w:val="00925307"/>
    <w:rsid w:val="00925AF6"/>
    <w:rsid w:val="00925C2D"/>
    <w:rsid w:val="00925D9A"/>
    <w:rsid w:val="009262CA"/>
    <w:rsid w:val="0092673E"/>
    <w:rsid w:val="00926F5E"/>
    <w:rsid w:val="009279A5"/>
    <w:rsid w:val="00930491"/>
    <w:rsid w:val="009306FF"/>
    <w:rsid w:val="0093226D"/>
    <w:rsid w:val="009325C0"/>
    <w:rsid w:val="009330A2"/>
    <w:rsid w:val="00933266"/>
    <w:rsid w:val="009333A6"/>
    <w:rsid w:val="00933636"/>
    <w:rsid w:val="009337E5"/>
    <w:rsid w:val="009346AC"/>
    <w:rsid w:val="00934A27"/>
    <w:rsid w:val="0093632E"/>
    <w:rsid w:val="00936A7C"/>
    <w:rsid w:val="00937F87"/>
    <w:rsid w:val="009404AC"/>
    <w:rsid w:val="00940B33"/>
    <w:rsid w:val="00940E7F"/>
    <w:rsid w:val="00941795"/>
    <w:rsid w:val="009422C6"/>
    <w:rsid w:val="00942372"/>
    <w:rsid w:val="00944188"/>
    <w:rsid w:val="00944867"/>
    <w:rsid w:val="00944FB5"/>
    <w:rsid w:val="00945295"/>
    <w:rsid w:val="009468F0"/>
    <w:rsid w:val="00951612"/>
    <w:rsid w:val="0095193C"/>
    <w:rsid w:val="00951E13"/>
    <w:rsid w:val="009520A2"/>
    <w:rsid w:val="0095234E"/>
    <w:rsid w:val="00952F7E"/>
    <w:rsid w:val="0095332C"/>
    <w:rsid w:val="00953927"/>
    <w:rsid w:val="00953EEA"/>
    <w:rsid w:val="0095572B"/>
    <w:rsid w:val="009561D9"/>
    <w:rsid w:val="009565A8"/>
    <w:rsid w:val="00960A39"/>
    <w:rsid w:val="00961378"/>
    <w:rsid w:val="00961D2B"/>
    <w:rsid w:val="00961F2A"/>
    <w:rsid w:val="00963984"/>
    <w:rsid w:val="00965098"/>
    <w:rsid w:val="00965907"/>
    <w:rsid w:val="00965C8C"/>
    <w:rsid w:val="00965F78"/>
    <w:rsid w:val="0096681D"/>
    <w:rsid w:val="00966CCF"/>
    <w:rsid w:val="00967FB3"/>
    <w:rsid w:val="009700C0"/>
    <w:rsid w:val="009700C9"/>
    <w:rsid w:val="00970688"/>
    <w:rsid w:val="00970A44"/>
    <w:rsid w:val="009717E7"/>
    <w:rsid w:val="00972F0F"/>
    <w:rsid w:val="0097325D"/>
    <w:rsid w:val="009734C3"/>
    <w:rsid w:val="0097355D"/>
    <w:rsid w:val="00973E9B"/>
    <w:rsid w:val="009743D0"/>
    <w:rsid w:val="00974A3A"/>
    <w:rsid w:val="00975A23"/>
    <w:rsid w:val="00975EE1"/>
    <w:rsid w:val="009760FA"/>
    <w:rsid w:val="00976945"/>
    <w:rsid w:val="00976A12"/>
    <w:rsid w:val="009777CB"/>
    <w:rsid w:val="00977CA5"/>
    <w:rsid w:val="00977D50"/>
    <w:rsid w:val="00980B41"/>
    <w:rsid w:val="00980D37"/>
    <w:rsid w:val="00981B0F"/>
    <w:rsid w:val="00982D0F"/>
    <w:rsid w:val="0098333A"/>
    <w:rsid w:val="0098338C"/>
    <w:rsid w:val="00984148"/>
    <w:rsid w:val="00984D79"/>
    <w:rsid w:val="00985E63"/>
    <w:rsid w:val="00986EAD"/>
    <w:rsid w:val="009879C0"/>
    <w:rsid w:val="00987F24"/>
    <w:rsid w:val="00990197"/>
    <w:rsid w:val="009903EF"/>
    <w:rsid w:val="009903F3"/>
    <w:rsid w:val="00990438"/>
    <w:rsid w:val="0099108E"/>
    <w:rsid w:val="009912AC"/>
    <w:rsid w:val="009916BF"/>
    <w:rsid w:val="00991B69"/>
    <w:rsid w:val="0099230C"/>
    <w:rsid w:val="0099385C"/>
    <w:rsid w:val="0099435F"/>
    <w:rsid w:val="009945C4"/>
    <w:rsid w:val="00994722"/>
    <w:rsid w:val="00995034"/>
    <w:rsid w:val="00995110"/>
    <w:rsid w:val="009954C5"/>
    <w:rsid w:val="009958AB"/>
    <w:rsid w:val="00996135"/>
    <w:rsid w:val="00996469"/>
    <w:rsid w:val="00996946"/>
    <w:rsid w:val="009971A2"/>
    <w:rsid w:val="0099728C"/>
    <w:rsid w:val="0099755C"/>
    <w:rsid w:val="0099788D"/>
    <w:rsid w:val="00997BB6"/>
    <w:rsid w:val="009A1441"/>
    <w:rsid w:val="009A19BE"/>
    <w:rsid w:val="009A1BDA"/>
    <w:rsid w:val="009A228A"/>
    <w:rsid w:val="009A29DE"/>
    <w:rsid w:val="009A3935"/>
    <w:rsid w:val="009A3B88"/>
    <w:rsid w:val="009A3BA1"/>
    <w:rsid w:val="009A440E"/>
    <w:rsid w:val="009A4B92"/>
    <w:rsid w:val="009A4C51"/>
    <w:rsid w:val="009A4EFB"/>
    <w:rsid w:val="009A51E6"/>
    <w:rsid w:val="009A5DA0"/>
    <w:rsid w:val="009A5E36"/>
    <w:rsid w:val="009A600F"/>
    <w:rsid w:val="009A680A"/>
    <w:rsid w:val="009A6B64"/>
    <w:rsid w:val="009A7A90"/>
    <w:rsid w:val="009A7E26"/>
    <w:rsid w:val="009B019C"/>
    <w:rsid w:val="009B0F0B"/>
    <w:rsid w:val="009B1206"/>
    <w:rsid w:val="009B1396"/>
    <w:rsid w:val="009B1B15"/>
    <w:rsid w:val="009B1E35"/>
    <w:rsid w:val="009B2F92"/>
    <w:rsid w:val="009B31C2"/>
    <w:rsid w:val="009B53AB"/>
    <w:rsid w:val="009B5886"/>
    <w:rsid w:val="009B60C8"/>
    <w:rsid w:val="009B69BB"/>
    <w:rsid w:val="009B728B"/>
    <w:rsid w:val="009B73D8"/>
    <w:rsid w:val="009C049E"/>
    <w:rsid w:val="009C0C5B"/>
    <w:rsid w:val="009C12E7"/>
    <w:rsid w:val="009C1415"/>
    <w:rsid w:val="009C1FF8"/>
    <w:rsid w:val="009C30BE"/>
    <w:rsid w:val="009C3B57"/>
    <w:rsid w:val="009C41F0"/>
    <w:rsid w:val="009C485A"/>
    <w:rsid w:val="009C4EB5"/>
    <w:rsid w:val="009C5554"/>
    <w:rsid w:val="009C5C82"/>
    <w:rsid w:val="009C5E26"/>
    <w:rsid w:val="009C5FD0"/>
    <w:rsid w:val="009C6662"/>
    <w:rsid w:val="009C6ADD"/>
    <w:rsid w:val="009C6DB4"/>
    <w:rsid w:val="009C7F9B"/>
    <w:rsid w:val="009D0316"/>
    <w:rsid w:val="009D044B"/>
    <w:rsid w:val="009D1014"/>
    <w:rsid w:val="009D1C74"/>
    <w:rsid w:val="009D258F"/>
    <w:rsid w:val="009D299A"/>
    <w:rsid w:val="009D2E3F"/>
    <w:rsid w:val="009D2F5C"/>
    <w:rsid w:val="009D30B8"/>
    <w:rsid w:val="009D31EB"/>
    <w:rsid w:val="009D33E4"/>
    <w:rsid w:val="009D3712"/>
    <w:rsid w:val="009D37AE"/>
    <w:rsid w:val="009D383D"/>
    <w:rsid w:val="009D4588"/>
    <w:rsid w:val="009D5707"/>
    <w:rsid w:val="009D5949"/>
    <w:rsid w:val="009D5F06"/>
    <w:rsid w:val="009D6F0F"/>
    <w:rsid w:val="009D6FA7"/>
    <w:rsid w:val="009D7320"/>
    <w:rsid w:val="009D7561"/>
    <w:rsid w:val="009E0609"/>
    <w:rsid w:val="009E0798"/>
    <w:rsid w:val="009E07C0"/>
    <w:rsid w:val="009E0A09"/>
    <w:rsid w:val="009E0AC8"/>
    <w:rsid w:val="009E0D2D"/>
    <w:rsid w:val="009E1CDB"/>
    <w:rsid w:val="009E1D80"/>
    <w:rsid w:val="009E262B"/>
    <w:rsid w:val="009E298C"/>
    <w:rsid w:val="009E2CBE"/>
    <w:rsid w:val="009E6EA6"/>
    <w:rsid w:val="009E75B9"/>
    <w:rsid w:val="009E7E94"/>
    <w:rsid w:val="009F027C"/>
    <w:rsid w:val="009F073E"/>
    <w:rsid w:val="009F08CA"/>
    <w:rsid w:val="009F0D3B"/>
    <w:rsid w:val="009F0FE0"/>
    <w:rsid w:val="009F111C"/>
    <w:rsid w:val="009F12E1"/>
    <w:rsid w:val="009F23C8"/>
    <w:rsid w:val="009F2746"/>
    <w:rsid w:val="009F30F8"/>
    <w:rsid w:val="009F393F"/>
    <w:rsid w:val="009F3C27"/>
    <w:rsid w:val="009F4D0A"/>
    <w:rsid w:val="009F57A2"/>
    <w:rsid w:val="009F7DEF"/>
    <w:rsid w:val="00A001DE"/>
    <w:rsid w:val="00A01416"/>
    <w:rsid w:val="00A0229C"/>
    <w:rsid w:val="00A02DA1"/>
    <w:rsid w:val="00A02F87"/>
    <w:rsid w:val="00A051C8"/>
    <w:rsid w:val="00A052EE"/>
    <w:rsid w:val="00A055FC"/>
    <w:rsid w:val="00A0598F"/>
    <w:rsid w:val="00A0622C"/>
    <w:rsid w:val="00A06D37"/>
    <w:rsid w:val="00A07430"/>
    <w:rsid w:val="00A07532"/>
    <w:rsid w:val="00A10125"/>
    <w:rsid w:val="00A10286"/>
    <w:rsid w:val="00A10B3C"/>
    <w:rsid w:val="00A11673"/>
    <w:rsid w:val="00A119A0"/>
    <w:rsid w:val="00A11B46"/>
    <w:rsid w:val="00A11BB4"/>
    <w:rsid w:val="00A11C17"/>
    <w:rsid w:val="00A1267A"/>
    <w:rsid w:val="00A12683"/>
    <w:rsid w:val="00A12B58"/>
    <w:rsid w:val="00A13275"/>
    <w:rsid w:val="00A132A2"/>
    <w:rsid w:val="00A13CAC"/>
    <w:rsid w:val="00A14364"/>
    <w:rsid w:val="00A150AD"/>
    <w:rsid w:val="00A179EC"/>
    <w:rsid w:val="00A208CD"/>
    <w:rsid w:val="00A20D7A"/>
    <w:rsid w:val="00A20F1E"/>
    <w:rsid w:val="00A21D4C"/>
    <w:rsid w:val="00A2222A"/>
    <w:rsid w:val="00A224CB"/>
    <w:rsid w:val="00A240F1"/>
    <w:rsid w:val="00A2597D"/>
    <w:rsid w:val="00A25C1A"/>
    <w:rsid w:val="00A2651F"/>
    <w:rsid w:val="00A26901"/>
    <w:rsid w:val="00A26961"/>
    <w:rsid w:val="00A26A5E"/>
    <w:rsid w:val="00A27DDE"/>
    <w:rsid w:val="00A300F3"/>
    <w:rsid w:val="00A30772"/>
    <w:rsid w:val="00A3106D"/>
    <w:rsid w:val="00A31ECC"/>
    <w:rsid w:val="00A320D9"/>
    <w:rsid w:val="00A32DC1"/>
    <w:rsid w:val="00A331CE"/>
    <w:rsid w:val="00A33DD8"/>
    <w:rsid w:val="00A33E80"/>
    <w:rsid w:val="00A340C7"/>
    <w:rsid w:val="00A34356"/>
    <w:rsid w:val="00A347C6"/>
    <w:rsid w:val="00A358E4"/>
    <w:rsid w:val="00A35EAC"/>
    <w:rsid w:val="00A3686B"/>
    <w:rsid w:val="00A37085"/>
    <w:rsid w:val="00A37410"/>
    <w:rsid w:val="00A37773"/>
    <w:rsid w:val="00A37B5A"/>
    <w:rsid w:val="00A409E7"/>
    <w:rsid w:val="00A4198E"/>
    <w:rsid w:val="00A41BC1"/>
    <w:rsid w:val="00A41DF2"/>
    <w:rsid w:val="00A41EC9"/>
    <w:rsid w:val="00A41F7E"/>
    <w:rsid w:val="00A42066"/>
    <w:rsid w:val="00A4229D"/>
    <w:rsid w:val="00A42434"/>
    <w:rsid w:val="00A4246C"/>
    <w:rsid w:val="00A428FB"/>
    <w:rsid w:val="00A429CF"/>
    <w:rsid w:val="00A44D06"/>
    <w:rsid w:val="00A458B6"/>
    <w:rsid w:val="00A45E0C"/>
    <w:rsid w:val="00A45FFA"/>
    <w:rsid w:val="00A4651F"/>
    <w:rsid w:val="00A47F2E"/>
    <w:rsid w:val="00A51721"/>
    <w:rsid w:val="00A52044"/>
    <w:rsid w:val="00A526A2"/>
    <w:rsid w:val="00A52D6A"/>
    <w:rsid w:val="00A52D7C"/>
    <w:rsid w:val="00A53191"/>
    <w:rsid w:val="00A53497"/>
    <w:rsid w:val="00A53AFB"/>
    <w:rsid w:val="00A53E0B"/>
    <w:rsid w:val="00A54CC3"/>
    <w:rsid w:val="00A5516B"/>
    <w:rsid w:val="00A55FFF"/>
    <w:rsid w:val="00A56C94"/>
    <w:rsid w:val="00A5709C"/>
    <w:rsid w:val="00A60456"/>
    <w:rsid w:val="00A60608"/>
    <w:rsid w:val="00A6076E"/>
    <w:rsid w:val="00A60C26"/>
    <w:rsid w:val="00A60C6C"/>
    <w:rsid w:val="00A61F35"/>
    <w:rsid w:val="00A6229A"/>
    <w:rsid w:val="00A62945"/>
    <w:rsid w:val="00A62C08"/>
    <w:rsid w:val="00A62F6B"/>
    <w:rsid w:val="00A638FC"/>
    <w:rsid w:val="00A63A35"/>
    <w:rsid w:val="00A63F52"/>
    <w:rsid w:val="00A649FC"/>
    <w:rsid w:val="00A64C8F"/>
    <w:rsid w:val="00A64D55"/>
    <w:rsid w:val="00A64D60"/>
    <w:rsid w:val="00A651D7"/>
    <w:rsid w:val="00A652F6"/>
    <w:rsid w:val="00A653AD"/>
    <w:rsid w:val="00A655BC"/>
    <w:rsid w:val="00A65786"/>
    <w:rsid w:val="00A65AD7"/>
    <w:rsid w:val="00A65B02"/>
    <w:rsid w:val="00A65C10"/>
    <w:rsid w:val="00A65D11"/>
    <w:rsid w:val="00A6651E"/>
    <w:rsid w:val="00A6661B"/>
    <w:rsid w:val="00A66BE0"/>
    <w:rsid w:val="00A670A1"/>
    <w:rsid w:val="00A70675"/>
    <w:rsid w:val="00A70E80"/>
    <w:rsid w:val="00A7160B"/>
    <w:rsid w:val="00A71691"/>
    <w:rsid w:val="00A71832"/>
    <w:rsid w:val="00A719FA"/>
    <w:rsid w:val="00A72962"/>
    <w:rsid w:val="00A72A9A"/>
    <w:rsid w:val="00A72B4A"/>
    <w:rsid w:val="00A72BDD"/>
    <w:rsid w:val="00A74A17"/>
    <w:rsid w:val="00A75C93"/>
    <w:rsid w:val="00A75E8A"/>
    <w:rsid w:val="00A75EC1"/>
    <w:rsid w:val="00A76865"/>
    <w:rsid w:val="00A76B7D"/>
    <w:rsid w:val="00A76E3E"/>
    <w:rsid w:val="00A76EA5"/>
    <w:rsid w:val="00A76EDB"/>
    <w:rsid w:val="00A77425"/>
    <w:rsid w:val="00A7766E"/>
    <w:rsid w:val="00A800EE"/>
    <w:rsid w:val="00A80A7B"/>
    <w:rsid w:val="00A80FF5"/>
    <w:rsid w:val="00A812F8"/>
    <w:rsid w:val="00A81C30"/>
    <w:rsid w:val="00A83407"/>
    <w:rsid w:val="00A83CFC"/>
    <w:rsid w:val="00A84744"/>
    <w:rsid w:val="00A84FB4"/>
    <w:rsid w:val="00A8541B"/>
    <w:rsid w:val="00A854A5"/>
    <w:rsid w:val="00A865A7"/>
    <w:rsid w:val="00A87234"/>
    <w:rsid w:val="00A87633"/>
    <w:rsid w:val="00A90E71"/>
    <w:rsid w:val="00A910D1"/>
    <w:rsid w:val="00A91495"/>
    <w:rsid w:val="00A91628"/>
    <w:rsid w:val="00A9179A"/>
    <w:rsid w:val="00A91ABE"/>
    <w:rsid w:val="00A91BD6"/>
    <w:rsid w:val="00A9202C"/>
    <w:rsid w:val="00A922D1"/>
    <w:rsid w:val="00A92724"/>
    <w:rsid w:val="00A92833"/>
    <w:rsid w:val="00A92F6E"/>
    <w:rsid w:val="00A930C1"/>
    <w:rsid w:val="00A930E2"/>
    <w:rsid w:val="00A93318"/>
    <w:rsid w:val="00A9387D"/>
    <w:rsid w:val="00A942A8"/>
    <w:rsid w:val="00A9516B"/>
    <w:rsid w:val="00A9531E"/>
    <w:rsid w:val="00A953D6"/>
    <w:rsid w:val="00A955A0"/>
    <w:rsid w:val="00A95959"/>
    <w:rsid w:val="00A95A79"/>
    <w:rsid w:val="00A95FDD"/>
    <w:rsid w:val="00A96A4B"/>
    <w:rsid w:val="00A97004"/>
    <w:rsid w:val="00A971B1"/>
    <w:rsid w:val="00A97622"/>
    <w:rsid w:val="00A97DD4"/>
    <w:rsid w:val="00A97F4D"/>
    <w:rsid w:val="00AA00FA"/>
    <w:rsid w:val="00AA077B"/>
    <w:rsid w:val="00AA28C9"/>
    <w:rsid w:val="00AA2CAE"/>
    <w:rsid w:val="00AA2F61"/>
    <w:rsid w:val="00AA3E27"/>
    <w:rsid w:val="00AA4A97"/>
    <w:rsid w:val="00AA5080"/>
    <w:rsid w:val="00AA6179"/>
    <w:rsid w:val="00AA6518"/>
    <w:rsid w:val="00AA668C"/>
    <w:rsid w:val="00AA68D3"/>
    <w:rsid w:val="00AA6DC5"/>
    <w:rsid w:val="00AA7431"/>
    <w:rsid w:val="00AA77B1"/>
    <w:rsid w:val="00AA7AFC"/>
    <w:rsid w:val="00AB0BAD"/>
    <w:rsid w:val="00AB1A1E"/>
    <w:rsid w:val="00AB1F48"/>
    <w:rsid w:val="00AB213F"/>
    <w:rsid w:val="00AB329E"/>
    <w:rsid w:val="00AB37F3"/>
    <w:rsid w:val="00AB46D9"/>
    <w:rsid w:val="00AB5006"/>
    <w:rsid w:val="00AB5B02"/>
    <w:rsid w:val="00AB6933"/>
    <w:rsid w:val="00AB6D05"/>
    <w:rsid w:val="00AB76E5"/>
    <w:rsid w:val="00AB7D1F"/>
    <w:rsid w:val="00AC10F0"/>
    <w:rsid w:val="00AC16BB"/>
    <w:rsid w:val="00AC1827"/>
    <w:rsid w:val="00AC1E39"/>
    <w:rsid w:val="00AC1E81"/>
    <w:rsid w:val="00AC2053"/>
    <w:rsid w:val="00AC2B3A"/>
    <w:rsid w:val="00AC3703"/>
    <w:rsid w:val="00AC3C62"/>
    <w:rsid w:val="00AC3CEB"/>
    <w:rsid w:val="00AC4907"/>
    <w:rsid w:val="00AC4910"/>
    <w:rsid w:val="00AC49DD"/>
    <w:rsid w:val="00AC5D9E"/>
    <w:rsid w:val="00AC60A0"/>
    <w:rsid w:val="00AC68B6"/>
    <w:rsid w:val="00AC68DA"/>
    <w:rsid w:val="00AC6908"/>
    <w:rsid w:val="00AC77B8"/>
    <w:rsid w:val="00AD0127"/>
    <w:rsid w:val="00AD01FE"/>
    <w:rsid w:val="00AD0283"/>
    <w:rsid w:val="00AD0838"/>
    <w:rsid w:val="00AD1C75"/>
    <w:rsid w:val="00AD2A38"/>
    <w:rsid w:val="00AD2EBB"/>
    <w:rsid w:val="00AD3B9D"/>
    <w:rsid w:val="00AD4052"/>
    <w:rsid w:val="00AD430E"/>
    <w:rsid w:val="00AD4C20"/>
    <w:rsid w:val="00AD5675"/>
    <w:rsid w:val="00AD5A43"/>
    <w:rsid w:val="00AD5D91"/>
    <w:rsid w:val="00AD6838"/>
    <w:rsid w:val="00AD6E54"/>
    <w:rsid w:val="00AD7167"/>
    <w:rsid w:val="00AD720F"/>
    <w:rsid w:val="00AE088A"/>
    <w:rsid w:val="00AE1253"/>
    <w:rsid w:val="00AE31E7"/>
    <w:rsid w:val="00AE3876"/>
    <w:rsid w:val="00AE3F5F"/>
    <w:rsid w:val="00AE4777"/>
    <w:rsid w:val="00AE4B6E"/>
    <w:rsid w:val="00AE4DB7"/>
    <w:rsid w:val="00AE4F84"/>
    <w:rsid w:val="00AE5B06"/>
    <w:rsid w:val="00AE684E"/>
    <w:rsid w:val="00AE6EB8"/>
    <w:rsid w:val="00AE7952"/>
    <w:rsid w:val="00AE7ED9"/>
    <w:rsid w:val="00AF014D"/>
    <w:rsid w:val="00AF122B"/>
    <w:rsid w:val="00AF1A20"/>
    <w:rsid w:val="00AF1CDA"/>
    <w:rsid w:val="00AF2BE6"/>
    <w:rsid w:val="00AF2E1F"/>
    <w:rsid w:val="00AF3DA0"/>
    <w:rsid w:val="00AF4111"/>
    <w:rsid w:val="00AF430E"/>
    <w:rsid w:val="00AF4364"/>
    <w:rsid w:val="00AF4A0E"/>
    <w:rsid w:val="00AF4D62"/>
    <w:rsid w:val="00AF51C0"/>
    <w:rsid w:val="00AF5557"/>
    <w:rsid w:val="00AF65A8"/>
    <w:rsid w:val="00AF753B"/>
    <w:rsid w:val="00B00319"/>
    <w:rsid w:val="00B00372"/>
    <w:rsid w:val="00B004F7"/>
    <w:rsid w:val="00B0326A"/>
    <w:rsid w:val="00B0395B"/>
    <w:rsid w:val="00B039E7"/>
    <w:rsid w:val="00B03CDD"/>
    <w:rsid w:val="00B0401C"/>
    <w:rsid w:val="00B051D4"/>
    <w:rsid w:val="00B06185"/>
    <w:rsid w:val="00B063B0"/>
    <w:rsid w:val="00B068CA"/>
    <w:rsid w:val="00B078DA"/>
    <w:rsid w:val="00B07CAD"/>
    <w:rsid w:val="00B07DB1"/>
    <w:rsid w:val="00B102E0"/>
    <w:rsid w:val="00B10B92"/>
    <w:rsid w:val="00B11E01"/>
    <w:rsid w:val="00B12781"/>
    <w:rsid w:val="00B12A15"/>
    <w:rsid w:val="00B12BD0"/>
    <w:rsid w:val="00B12D3D"/>
    <w:rsid w:val="00B12EA0"/>
    <w:rsid w:val="00B12EB9"/>
    <w:rsid w:val="00B13577"/>
    <w:rsid w:val="00B1367E"/>
    <w:rsid w:val="00B13C92"/>
    <w:rsid w:val="00B14243"/>
    <w:rsid w:val="00B1495A"/>
    <w:rsid w:val="00B150DB"/>
    <w:rsid w:val="00B155EE"/>
    <w:rsid w:val="00B1582F"/>
    <w:rsid w:val="00B1585E"/>
    <w:rsid w:val="00B15E4C"/>
    <w:rsid w:val="00B17A1A"/>
    <w:rsid w:val="00B2004E"/>
    <w:rsid w:val="00B209BC"/>
    <w:rsid w:val="00B221DF"/>
    <w:rsid w:val="00B231B4"/>
    <w:rsid w:val="00B23296"/>
    <w:rsid w:val="00B246F4"/>
    <w:rsid w:val="00B2479E"/>
    <w:rsid w:val="00B24A24"/>
    <w:rsid w:val="00B24E71"/>
    <w:rsid w:val="00B25438"/>
    <w:rsid w:val="00B25A41"/>
    <w:rsid w:val="00B2715C"/>
    <w:rsid w:val="00B2742E"/>
    <w:rsid w:val="00B27DF4"/>
    <w:rsid w:val="00B30F35"/>
    <w:rsid w:val="00B3138F"/>
    <w:rsid w:val="00B320B5"/>
    <w:rsid w:val="00B32C14"/>
    <w:rsid w:val="00B33443"/>
    <w:rsid w:val="00B3356A"/>
    <w:rsid w:val="00B34583"/>
    <w:rsid w:val="00B346B5"/>
    <w:rsid w:val="00B353B9"/>
    <w:rsid w:val="00B359A7"/>
    <w:rsid w:val="00B35C30"/>
    <w:rsid w:val="00B3623C"/>
    <w:rsid w:val="00B36BB6"/>
    <w:rsid w:val="00B36E5D"/>
    <w:rsid w:val="00B3714E"/>
    <w:rsid w:val="00B374C7"/>
    <w:rsid w:val="00B37B45"/>
    <w:rsid w:val="00B40AE4"/>
    <w:rsid w:val="00B41138"/>
    <w:rsid w:val="00B42FD5"/>
    <w:rsid w:val="00B430E2"/>
    <w:rsid w:val="00B43422"/>
    <w:rsid w:val="00B43CF9"/>
    <w:rsid w:val="00B443D8"/>
    <w:rsid w:val="00B44541"/>
    <w:rsid w:val="00B45D55"/>
    <w:rsid w:val="00B45FE4"/>
    <w:rsid w:val="00B46129"/>
    <w:rsid w:val="00B46652"/>
    <w:rsid w:val="00B46A10"/>
    <w:rsid w:val="00B474B5"/>
    <w:rsid w:val="00B47A0B"/>
    <w:rsid w:val="00B47B0E"/>
    <w:rsid w:val="00B47ED3"/>
    <w:rsid w:val="00B5145F"/>
    <w:rsid w:val="00B514C7"/>
    <w:rsid w:val="00B51520"/>
    <w:rsid w:val="00B526AE"/>
    <w:rsid w:val="00B52BAB"/>
    <w:rsid w:val="00B536B0"/>
    <w:rsid w:val="00B53CF7"/>
    <w:rsid w:val="00B54976"/>
    <w:rsid w:val="00B549CA"/>
    <w:rsid w:val="00B54B7A"/>
    <w:rsid w:val="00B55422"/>
    <w:rsid w:val="00B558F2"/>
    <w:rsid w:val="00B55A9A"/>
    <w:rsid w:val="00B55AC6"/>
    <w:rsid w:val="00B55FFD"/>
    <w:rsid w:val="00B56145"/>
    <w:rsid w:val="00B5642B"/>
    <w:rsid w:val="00B569EB"/>
    <w:rsid w:val="00B57201"/>
    <w:rsid w:val="00B57B6D"/>
    <w:rsid w:val="00B6060A"/>
    <w:rsid w:val="00B607D1"/>
    <w:rsid w:val="00B60943"/>
    <w:rsid w:val="00B60ABA"/>
    <w:rsid w:val="00B61E71"/>
    <w:rsid w:val="00B621DD"/>
    <w:rsid w:val="00B6265C"/>
    <w:rsid w:val="00B63152"/>
    <w:rsid w:val="00B63B92"/>
    <w:rsid w:val="00B642C7"/>
    <w:rsid w:val="00B64652"/>
    <w:rsid w:val="00B654AB"/>
    <w:rsid w:val="00B66343"/>
    <w:rsid w:val="00B669FE"/>
    <w:rsid w:val="00B66C42"/>
    <w:rsid w:val="00B67FBA"/>
    <w:rsid w:val="00B702C0"/>
    <w:rsid w:val="00B70A2B"/>
    <w:rsid w:val="00B7175C"/>
    <w:rsid w:val="00B72C76"/>
    <w:rsid w:val="00B72E11"/>
    <w:rsid w:val="00B738C3"/>
    <w:rsid w:val="00B73BD2"/>
    <w:rsid w:val="00B73F93"/>
    <w:rsid w:val="00B74890"/>
    <w:rsid w:val="00B750BB"/>
    <w:rsid w:val="00B75747"/>
    <w:rsid w:val="00B758F9"/>
    <w:rsid w:val="00B760A5"/>
    <w:rsid w:val="00B76107"/>
    <w:rsid w:val="00B7721F"/>
    <w:rsid w:val="00B776DD"/>
    <w:rsid w:val="00B8007B"/>
    <w:rsid w:val="00B803B7"/>
    <w:rsid w:val="00B8142E"/>
    <w:rsid w:val="00B82430"/>
    <w:rsid w:val="00B82A6E"/>
    <w:rsid w:val="00B82B95"/>
    <w:rsid w:val="00B82CC5"/>
    <w:rsid w:val="00B83DCF"/>
    <w:rsid w:val="00B84AC3"/>
    <w:rsid w:val="00B84F3F"/>
    <w:rsid w:val="00B8516D"/>
    <w:rsid w:val="00B85559"/>
    <w:rsid w:val="00B85AAF"/>
    <w:rsid w:val="00B85BE2"/>
    <w:rsid w:val="00B863AE"/>
    <w:rsid w:val="00B86516"/>
    <w:rsid w:val="00B86A1D"/>
    <w:rsid w:val="00B874FF"/>
    <w:rsid w:val="00B902F5"/>
    <w:rsid w:val="00B90711"/>
    <w:rsid w:val="00B92479"/>
    <w:rsid w:val="00B93E08"/>
    <w:rsid w:val="00B941B8"/>
    <w:rsid w:val="00B94FFB"/>
    <w:rsid w:val="00B95149"/>
    <w:rsid w:val="00B952BB"/>
    <w:rsid w:val="00B953E5"/>
    <w:rsid w:val="00B9546F"/>
    <w:rsid w:val="00B95541"/>
    <w:rsid w:val="00B95561"/>
    <w:rsid w:val="00B95EB5"/>
    <w:rsid w:val="00B964C7"/>
    <w:rsid w:val="00B966D4"/>
    <w:rsid w:val="00B966F6"/>
    <w:rsid w:val="00BA0B96"/>
    <w:rsid w:val="00BA18AA"/>
    <w:rsid w:val="00BA1D37"/>
    <w:rsid w:val="00BA2538"/>
    <w:rsid w:val="00BA2BD2"/>
    <w:rsid w:val="00BA2EE2"/>
    <w:rsid w:val="00BA3170"/>
    <w:rsid w:val="00BA3427"/>
    <w:rsid w:val="00BA362B"/>
    <w:rsid w:val="00BA3773"/>
    <w:rsid w:val="00BA3F27"/>
    <w:rsid w:val="00BA5005"/>
    <w:rsid w:val="00BA52DB"/>
    <w:rsid w:val="00BA6144"/>
    <w:rsid w:val="00BA662C"/>
    <w:rsid w:val="00BA7772"/>
    <w:rsid w:val="00BB071B"/>
    <w:rsid w:val="00BB12E2"/>
    <w:rsid w:val="00BB203E"/>
    <w:rsid w:val="00BB29C2"/>
    <w:rsid w:val="00BB450C"/>
    <w:rsid w:val="00BB4DDE"/>
    <w:rsid w:val="00BB5642"/>
    <w:rsid w:val="00BB573F"/>
    <w:rsid w:val="00BB7287"/>
    <w:rsid w:val="00BC054D"/>
    <w:rsid w:val="00BC13BA"/>
    <w:rsid w:val="00BC1C57"/>
    <w:rsid w:val="00BC1DB5"/>
    <w:rsid w:val="00BC1E65"/>
    <w:rsid w:val="00BC281B"/>
    <w:rsid w:val="00BC2F7A"/>
    <w:rsid w:val="00BC32DB"/>
    <w:rsid w:val="00BC32F4"/>
    <w:rsid w:val="00BC4E9F"/>
    <w:rsid w:val="00BC5877"/>
    <w:rsid w:val="00BC622E"/>
    <w:rsid w:val="00BC70C1"/>
    <w:rsid w:val="00BD0065"/>
    <w:rsid w:val="00BD0323"/>
    <w:rsid w:val="00BD080D"/>
    <w:rsid w:val="00BD0AD6"/>
    <w:rsid w:val="00BD335B"/>
    <w:rsid w:val="00BD43F2"/>
    <w:rsid w:val="00BD5BE5"/>
    <w:rsid w:val="00BD6908"/>
    <w:rsid w:val="00BD770D"/>
    <w:rsid w:val="00BD7B5E"/>
    <w:rsid w:val="00BE016E"/>
    <w:rsid w:val="00BE12FD"/>
    <w:rsid w:val="00BE1CDE"/>
    <w:rsid w:val="00BE1F58"/>
    <w:rsid w:val="00BE222A"/>
    <w:rsid w:val="00BE237D"/>
    <w:rsid w:val="00BE2593"/>
    <w:rsid w:val="00BE2602"/>
    <w:rsid w:val="00BE3211"/>
    <w:rsid w:val="00BE5034"/>
    <w:rsid w:val="00BE5B01"/>
    <w:rsid w:val="00BE6042"/>
    <w:rsid w:val="00BE74C0"/>
    <w:rsid w:val="00BF04B4"/>
    <w:rsid w:val="00BF17D0"/>
    <w:rsid w:val="00BF2418"/>
    <w:rsid w:val="00BF282E"/>
    <w:rsid w:val="00BF2F3D"/>
    <w:rsid w:val="00BF31E7"/>
    <w:rsid w:val="00BF34D9"/>
    <w:rsid w:val="00BF5FF2"/>
    <w:rsid w:val="00BF63E0"/>
    <w:rsid w:val="00BF69A6"/>
    <w:rsid w:val="00BF6D94"/>
    <w:rsid w:val="00BF70B9"/>
    <w:rsid w:val="00BF71AB"/>
    <w:rsid w:val="00BF752B"/>
    <w:rsid w:val="00BF77DF"/>
    <w:rsid w:val="00BF7AC2"/>
    <w:rsid w:val="00BF7AE3"/>
    <w:rsid w:val="00C00066"/>
    <w:rsid w:val="00C000ED"/>
    <w:rsid w:val="00C0219B"/>
    <w:rsid w:val="00C02631"/>
    <w:rsid w:val="00C0290D"/>
    <w:rsid w:val="00C03EB5"/>
    <w:rsid w:val="00C04102"/>
    <w:rsid w:val="00C04971"/>
    <w:rsid w:val="00C04F94"/>
    <w:rsid w:val="00C0544E"/>
    <w:rsid w:val="00C05A08"/>
    <w:rsid w:val="00C05CA8"/>
    <w:rsid w:val="00C05D16"/>
    <w:rsid w:val="00C06660"/>
    <w:rsid w:val="00C068C7"/>
    <w:rsid w:val="00C1055A"/>
    <w:rsid w:val="00C1057F"/>
    <w:rsid w:val="00C10731"/>
    <w:rsid w:val="00C10C40"/>
    <w:rsid w:val="00C110F6"/>
    <w:rsid w:val="00C112DD"/>
    <w:rsid w:val="00C12173"/>
    <w:rsid w:val="00C12678"/>
    <w:rsid w:val="00C1300F"/>
    <w:rsid w:val="00C13033"/>
    <w:rsid w:val="00C131A0"/>
    <w:rsid w:val="00C13308"/>
    <w:rsid w:val="00C13E3A"/>
    <w:rsid w:val="00C14C1F"/>
    <w:rsid w:val="00C14C97"/>
    <w:rsid w:val="00C15AF6"/>
    <w:rsid w:val="00C1611F"/>
    <w:rsid w:val="00C16398"/>
    <w:rsid w:val="00C16F09"/>
    <w:rsid w:val="00C16FCD"/>
    <w:rsid w:val="00C17321"/>
    <w:rsid w:val="00C174F6"/>
    <w:rsid w:val="00C176F4"/>
    <w:rsid w:val="00C1783A"/>
    <w:rsid w:val="00C17DCE"/>
    <w:rsid w:val="00C201AD"/>
    <w:rsid w:val="00C211E2"/>
    <w:rsid w:val="00C227F1"/>
    <w:rsid w:val="00C22BDF"/>
    <w:rsid w:val="00C2397F"/>
    <w:rsid w:val="00C243F8"/>
    <w:rsid w:val="00C24421"/>
    <w:rsid w:val="00C246CD"/>
    <w:rsid w:val="00C2495C"/>
    <w:rsid w:val="00C25AD0"/>
    <w:rsid w:val="00C266F9"/>
    <w:rsid w:val="00C272D0"/>
    <w:rsid w:val="00C27D7F"/>
    <w:rsid w:val="00C30E77"/>
    <w:rsid w:val="00C30ED0"/>
    <w:rsid w:val="00C31061"/>
    <w:rsid w:val="00C313AD"/>
    <w:rsid w:val="00C33273"/>
    <w:rsid w:val="00C33360"/>
    <w:rsid w:val="00C3385F"/>
    <w:rsid w:val="00C33A51"/>
    <w:rsid w:val="00C33CD1"/>
    <w:rsid w:val="00C34442"/>
    <w:rsid w:val="00C35CC5"/>
    <w:rsid w:val="00C35F93"/>
    <w:rsid w:val="00C3635C"/>
    <w:rsid w:val="00C3656D"/>
    <w:rsid w:val="00C36789"/>
    <w:rsid w:val="00C36B3B"/>
    <w:rsid w:val="00C3729E"/>
    <w:rsid w:val="00C4048F"/>
    <w:rsid w:val="00C4142D"/>
    <w:rsid w:val="00C415CD"/>
    <w:rsid w:val="00C41F69"/>
    <w:rsid w:val="00C43858"/>
    <w:rsid w:val="00C438A7"/>
    <w:rsid w:val="00C4447B"/>
    <w:rsid w:val="00C448D6"/>
    <w:rsid w:val="00C44F97"/>
    <w:rsid w:val="00C45084"/>
    <w:rsid w:val="00C455C7"/>
    <w:rsid w:val="00C45960"/>
    <w:rsid w:val="00C45B7F"/>
    <w:rsid w:val="00C46BAF"/>
    <w:rsid w:val="00C47B6F"/>
    <w:rsid w:val="00C47C57"/>
    <w:rsid w:val="00C50015"/>
    <w:rsid w:val="00C51196"/>
    <w:rsid w:val="00C515FE"/>
    <w:rsid w:val="00C51D6A"/>
    <w:rsid w:val="00C523FD"/>
    <w:rsid w:val="00C52F4F"/>
    <w:rsid w:val="00C52F90"/>
    <w:rsid w:val="00C5371F"/>
    <w:rsid w:val="00C53863"/>
    <w:rsid w:val="00C53FFA"/>
    <w:rsid w:val="00C5467E"/>
    <w:rsid w:val="00C54EBC"/>
    <w:rsid w:val="00C54F3D"/>
    <w:rsid w:val="00C5629C"/>
    <w:rsid w:val="00C56A3E"/>
    <w:rsid w:val="00C570AA"/>
    <w:rsid w:val="00C57847"/>
    <w:rsid w:val="00C57B2D"/>
    <w:rsid w:val="00C6033B"/>
    <w:rsid w:val="00C6064E"/>
    <w:rsid w:val="00C606D9"/>
    <w:rsid w:val="00C60DC1"/>
    <w:rsid w:val="00C60F31"/>
    <w:rsid w:val="00C61AD5"/>
    <w:rsid w:val="00C61C98"/>
    <w:rsid w:val="00C62189"/>
    <w:rsid w:val="00C622EF"/>
    <w:rsid w:val="00C6232E"/>
    <w:rsid w:val="00C625EA"/>
    <w:rsid w:val="00C629AD"/>
    <w:rsid w:val="00C62E50"/>
    <w:rsid w:val="00C63246"/>
    <w:rsid w:val="00C63D99"/>
    <w:rsid w:val="00C64959"/>
    <w:rsid w:val="00C656F5"/>
    <w:rsid w:val="00C660D2"/>
    <w:rsid w:val="00C67239"/>
    <w:rsid w:val="00C67D26"/>
    <w:rsid w:val="00C703A9"/>
    <w:rsid w:val="00C705B2"/>
    <w:rsid w:val="00C7072C"/>
    <w:rsid w:val="00C70B6E"/>
    <w:rsid w:val="00C714C2"/>
    <w:rsid w:val="00C71818"/>
    <w:rsid w:val="00C72366"/>
    <w:rsid w:val="00C7247C"/>
    <w:rsid w:val="00C72545"/>
    <w:rsid w:val="00C725BC"/>
    <w:rsid w:val="00C72C04"/>
    <w:rsid w:val="00C72F84"/>
    <w:rsid w:val="00C73679"/>
    <w:rsid w:val="00C74337"/>
    <w:rsid w:val="00C743C2"/>
    <w:rsid w:val="00C74724"/>
    <w:rsid w:val="00C75D65"/>
    <w:rsid w:val="00C75D8C"/>
    <w:rsid w:val="00C770C9"/>
    <w:rsid w:val="00C77420"/>
    <w:rsid w:val="00C775E4"/>
    <w:rsid w:val="00C77787"/>
    <w:rsid w:val="00C7791D"/>
    <w:rsid w:val="00C779A9"/>
    <w:rsid w:val="00C77F52"/>
    <w:rsid w:val="00C8004C"/>
    <w:rsid w:val="00C804B1"/>
    <w:rsid w:val="00C80565"/>
    <w:rsid w:val="00C80B78"/>
    <w:rsid w:val="00C81201"/>
    <w:rsid w:val="00C81717"/>
    <w:rsid w:val="00C818DC"/>
    <w:rsid w:val="00C81FFF"/>
    <w:rsid w:val="00C82415"/>
    <w:rsid w:val="00C82619"/>
    <w:rsid w:val="00C83A53"/>
    <w:rsid w:val="00C83CB0"/>
    <w:rsid w:val="00C8451A"/>
    <w:rsid w:val="00C853A8"/>
    <w:rsid w:val="00C853BA"/>
    <w:rsid w:val="00C85A45"/>
    <w:rsid w:val="00C861F7"/>
    <w:rsid w:val="00C874B5"/>
    <w:rsid w:val="00C87A92"/>
    <w:rsid w:val="00C914E5"/>
    <w:rsid w:val="00C923A5"/>
    <w:rsid w:val="00C9338D"/>
    <w:rsid w:val="00C93644"/>
    <w:rsid w:val="00C93FDC"/>
    <w:rsid w:val="00C941E8"/>
    <w:rsid w:val="00C967B7"/>
    <w:rsid w:val="00C9729F"/>
    <w:rsid w:val="00C97303"/>
    <w:rsid w:val="00CA06DC"/>
    <w:rsid w:val="00CA0738"/>
    <w:rsid w:val="00CA0812"/>
    <w:rsid w:val="00CA08D9"/>
    <w:rsid w:val="00CA1603"/>
    <w:rsid w:val="00CA2C1A"/>
    <w:rsid w:val="00CA2D13"/>
    <w:rsid w:val="00CA344B"/>
    <w:rsid w:val="00CA3E1B"/>
    <w:rsid w:val="00CA47F5"/>
    <w:rsid w:val="00CA4FB7"/>
    <w:rsid w:val="00CA55ED"/>
    <w:rsid w:val="00CA5727"/>
    <w:rsid w:val="00CA5D0B"/>
    <w:rsid w:val="00CA63F6"/>
    <w:rsid w:val="00CA658F"/>
    <w:rsid w:val="00CA7B34"/>
    <w:rsid w:val="00CA7EC6"/>
    <w:rsid w:val="00CB1790"/>
    <w:rsid w:val="00CB2F03"/>
    <w:rsid w:val="00CB357F"/>
    <w:rsid w:val="00CB45C3"/>
    <w:rsid w:val="00CB47F1"/>
    <w:rsid w:val="00CB5131"/>
    <w:rsid w:val="00CB52D3"/>
    <w:rsid w:val="00CB5A82"/>
    <w:rsid w:val="00CB5E1D"/>
    <w:rsid w:val="00CB5FDE"/>
    <w:rsid w:val="00CB6289"/>
    <w:rsid w:val="00CB643E"/>
    <w:rsid w:val="00CB65CA"/>
    <w:rsid w:val="00CB70C9"/>
    <w:rsid w:val="00CC017D"/>
    <w:rsid w:val="00CC0633"/>
    <w:rsid w:val="00CC1297"/>
    <w:rsid w:val="00CC1D6F"/>
    <w:rsid w:val="00CC22B4"/>
    <w:rsid w:val="00CC36DB"/>
    <w:rsid w:val="00CC3CDF"/>
    <w:rsid w:val="00CC3D84"/>
    <w:rsid w:val="00CC4C0E"/>
    <w:rsid w:val="00CC4D94"/>
    <w:rsid w:val="00CC588A"/>
    <w:rsid w:val="00CC5893"/>
    <w:rsid w:val="00CC6673"/>
    <w:rsid w:val="00CC6900"/>
    <w:rsid w:val="00CD04F9"/>
    <w:rsid w:val="00CD1132"/>
    <w:rsid w:val="00CD1978"/>
    <w:rsid w:val="00CD2ABD"/>
    <w:rsid w:val="00CD31B1"/>
    <w:rsid w:val="00CD34A1"/>
    <w:rsid w:val="00CD382B"/>
    <w:rsid w:val="00CD38F0"/>
    <w:rsid w:val="00CD3F37"/>
    <w:rsid w:val="00CD3F8B"/>
    <w:rsid w:val="00CD47F6"/>
    <w:rsid w:val="00CD4A86"/>
    <w:rsid w:val="00CD54C6"/>
    <w:rsid w:val="00CD5514"/>
    <w:rsid w:val="00CD582C"/>
    <w:rsid w:val="00CD59AF"/>
    <w:rsid w:val="00CD5EF0"/>
    <w:rsid w:val="00CD617B"/>
    <w:rsid w:val="00CD775C"/>
    <w:rsid w:val="00CE03E2"/>
    <w:rsid w:val="00CE0EFA"/>
    <w:rsid w:val="00CE0FBF"/>
    <w:rsid w:val="00CE1641"/>
    <w:rsid w:val="00CE20E9"/>
    <w:rsid w:val="00CE21B6"/>
    <w:rsid w:val="00CE2A91"/>
    <w:rsid w:val="00CE3605"/>
    <w:rsid w:val="00CE3F6A"/>
    <w:rsid w:val="00CE4AB4"/>
    <w:rsid w:val="00CE5639"/>
    <w:rsid w:val="00CE621A"/>
    <w:rsid w:val="00CE6789"/>
    <w:rsid w:val="00CE6E94"/>
    <w:rsid w:val="00CE77B4"/>
    <w:rsid w:val="00CE79CE"/>
    <w:rsid w:val="00CF020D"/>
    <w:rsid w:val="00CF03AF"/>
    <w:rsid w:val="00CF1717"/>
    <w:rsid w:val="00CF17C4"/>
    <w:rsid w:val="00CF1D81"/>
    <w:rsid w:val="00CF1F65"/>
    <w:rsid w:val="00CF2DCB"/>
    <w:rsid w:val="00CF3777"/>
    <w:rsid w:val="00CF3FD1"/>
    <w:rsid w:val="00CF4121"/>
    <w:rsid w:val="00CF4207"/>
    <w:rsid w:val="00CF5F33"/>
    <w:rsid w:val="00CF71AB"/>
    <w:rsid w:val="00CF755D"/>
    <w:rsid w:val="00CF75C0"/>
    <w:rsid w:val="00CF782F"/>
    <w:rsid w:val="00CF7AA8"/>
    <w:rsid w:val="00CF7D4B"/>
    <w:rsid w:val="00D004D1"/>
    <w:rsid w:val="00D0073F"/>
    <w:rsid w:val="00D01F70"/>
    <w:rsid w:val="00D027B9"/>
    <w:rsid w:val="00D02CC2"/>
    <w:rsid w:val="00D030D1"/>
    <w:rsid w:val="00D03F75"/>
    <w:rsid w:val="00D0421E"/>
    <w:rsid w:val="00D05563"/>
    <w:rsid w:val="00D058D5"/>
    <w:rsid w:val="00D05B4A"/>
    <w:rsid w:val="00D05D91"/>
    <w:rsid w:val="00D06243"/>
    <w:rsid w:val="00D063FF"/>
    <w:rsid w:val="00D06756"/>
    <w:rsid w:val="00D06A5B"/>
    <w:rsid w:val="00D06A82"/>
    <w:rsid w:val="00D06CE0"/>
    <w:rsid w:val="00D06EBA"/>
    <w:rsid w:val="00D07105"/>
    <w:rsid w:val="00D071BB"/>
    <w:rsid w:val="00D07508"/>
    <w:rsid w:val="00D0761D"/>
    <w:rsid w:val="00D07637"/>
    <w:rsid w:val="00D10CB5"/>
    <w:rsid w:val="00D10D32"/>
    <w:rsid w:val="00D10D49"/>
    <w:rsid w:val="00D11724"/>
    <w:rsid w:val="00D118F5"/>
    <w:rsid w:val="00D12C5C"/>
    <w:rsid w:val="00D12FC9"/>
    <w:rsid w:val="00D1338A"/>
    <w:rsid w:val="00D13748"/>
    <w:rsid w:val="00D13A21"/>
    <w:rsid w:val="00D13A65"/>
    <w:rsid w:val="00D142F6"/>
    <w:rsid w:val="00D14E7B"/>
    <w:rsid w:val="00D16558"/>
    <w:rsid w:val="00D203D5"/>
    <w:rsid w:val="00D21788"/>
    <w:rsid w:val="00D21A55"/>
    <w:rsid w:val="00D23709"/>
    <w:rsid w:val="00D23CAB"/>
    <w:rsid w:val="00D23CC7"/>
    <w:rsid w:val="00D240C6"/>
    <w:rsid w:val="00D24375"/>
    <w:rsid w:val="00D2437F"/>
    <w:rsid w:val="00D249D7"/>
    <w:rsid w:val="00D2514A"/>
    <w:rsid w:val="00D252F8"/>
    <w:rsid w:val="00D256FF"/>
    <w:rsid w:val="00D2637F"/>
    <w:rsid w:val="00D26FEF"/>
    <w:rsid w:val="00D27088"/>
    <w:rsid w:val="00D27215"/>
    <w:rsid w:val="00D277E5"/>
    <w:rsid w:val="00D27A1F"/>
    <w:rsid w:val="00D27BAE"/>
    <w:rsid w:val="00D27BC7"/>
    <w:rsid w:val="00D30120"/>
    <w:rsid w:val="00D304E7"/>
    <w:rsid w:val="00D30E2D"/>
    <w:rsid w:val="00D31267"/>
    <w:rsid w:val="00D31521"/>
    <w:rsid w:val="00D31ACE"/>
    <w:rsid w:val="00D3253D"/>
    <w:rsid w:val="00D32CC9"/>
    <w:rsid w:val="00D332DE"/>
    <w:rsid w:val="00D3338D"/>
    <w:rsid w:val="00D33543"/>
    <w:rsid w:val="00D33BD3"/>
    <w:rsid w:val="00D3423D"/>
    <w:rsid w:val="00D35FC6"/>
    <w:rsid w:val="00D364F8"/>
    <w:rsid w:val="00D3662F"/>
    <w:rsid w:val="00D36BF8"/>
    <w:rsid w:val="00D37D84"/>
    <w:rsid w:val="00D40841"/>
    <w:rsid w:val="00D40948"/>
    <w:rsid w:val="00D41515"/>
    <w:rsid w:val="00D41672"/>
    <w:rsid w:val="00D41A84"/>
    <w:rsid w:val="00D42D09"/>
    <w:rsid w:val="00D43673"/>
    <w:rsid w:val="00D44020"/>
    <w:rsid w:val="00D450B6"/>
    <w:rsid w:val="00D455B7"/>
    <w:rsid w:val="00D461D8"/>
    <w:rsid w:val="00D46A7E"/>
    <w:rsid w:val="00D46F5C"/>
    <w:rsid w:val="00D47F71"/>
    <w:rsid w:val="00D505DE"/>
    <w:rsid w:val="00D50C28"/>
    <w:rsid w:val="00D5151A"/>
    <w:rsid w:val="00D51638"/>
    <w:rsid w:val="00D516ED"/>
    <w:rsid w:val="00D51ABB"/>
    <w:rsid w:val="00D52209"/>
    <w:rsid w:val="00D52426"/>
    <w:rsid w:val="00D52684"/>
    <w:rsid w:val="00D55421"/>
    <w:rsid w:val="00D55911"/>
    <w:rsid w:val="00D55A71"/>
    <w:rsid w:val="00D55AC5"/>
    <w:rsid w:val="00D55B7B"/>
    <w:rsid w:val="00D56660"/>
    <w:rsid w:val="00D5667A"/>
    <w:rsid w:val="00D5668B"/>
    <w:rsid w:val="00D572D3"/>
    <w:rsid w:val="00D574E0"/>
    <w:rsid w:val="00D6290E"/>
    <w:rsid w:val="00D633D3"/>
    <w:rsid w:val="00D63F0C"/>
    <w:rsid w:val="00D653C6"/>
    <w:rsid w:val="00D658C7"/>
    <w:rsid w:val="00D65AB3"/>
    <w:rsid w:val="00D663D7"/>
    <w:rsid w:val="00D675B0"/>
    <w:rsid w:val="00D67632"/>
    <w:rsid w:val="00D67E8C"/>
    <w:rsid w:val="00D70759"/>
    <w:rsid w:val="00D70A39"/>
    <w:rsid w:val="00D7121C"/>
    <w:rsid w:val="00D71850"/>
    <w:rsid w:val="00D72B7B"/>
    <w:rsid w:val="00D72C11"/>
    <w:rsid w:val="00D730BA"/>
    <w:rsid w:val="00D73A80"/>
    <w:rsid w:val="00D7452A"/>
    <w:rsid w:val="00D7497D"/>
    <w:rsid w:val="00D74F25"/>
    <w:rsid w:val="00D74FCA"/>
    <w:rsid w:val="00D75A0D"/>
    <w:rsid w:val="00D76307"/>
    <w:rsid w:val="00D76F0A"/>
    <w:rsid w:val="00D76F1C"/>
    <w:rsid w:val="00D7701D"/>
    <w:rsid w:val="00D77D4A"/>
    <w:rsid w:val="00D80395"/>
    <w:rsid w:val="00D80A57"/>
    <w:rsid w:val="00D81723"/>
    <w:rsid w:val="00D81E3A"/>
    <w:rsid w:val="00D81F0C"/>
    <w:rsid w:val="00D827C3"/>
    <w:rsid w:val="00D8316E"/>
    <w:rsid w:val="00D83864"/>
    <w:rsid w:val="00D83AF7"/>
    <w:rsid w:val="00D83FEA"/>
    <w:rsid w:val="00D84C47"/>
    <w:rsid w:val="00D84EC1"/>
    <w:rsid w:val="00D85A49"/>
    <w:rsid w:val="00D86767"/>
    <w:rsid w:val="00D901B0"/>
    <w:rsid w:val="00D90408"/>
    <w:rsid w:val="00D91327"/>
    <w:rsid w:val="00D9133D"/>
    <w:rsid w:val="00D92CBE"/>
    <w:rsid w:val="00D9325B"/>
    <w:rsid w:val="00D939E8"/>
    <w:rsid w:val="00D940A1"/>
    <w:rsid w:val="00D94C11"/>
    <w:rsid w:val="00D94D5B"/>
    <w:rsid w:val="00D951AB"/>
    <w:rsid w:val="00D96A14"/>
    <w:rsid w:val="00D96B6B"/>
    <w:rsid w:val="00D96D1E"/>
    <w:rsid w:val="00D96E0B"/>
    <w:rsid w:val="00D97E59"/>
    <w:rsid w:val="00DA0A5A"/>
    <w:rsid w:val="00DA1533"/>
    <w:rsid w:val="00DA1939"/>
    <w:rsid w:val="00DA1BE0"/>
    <w:rsid w:val="00DA29E6"/>
    <w:rsid w:val="00DA2B0D"/>
    <w:rsid w:val="00DA47B1"/>
    <w:rsid w:val="00DA4DA3"/>
    <w:rsid w:val="00DA4DEE"/>
    <w:rsid w:val="00DA5BAC"/>
    <w:rsid w:val="00DA5F3C"/>
    <w:rsid w:val="00DA6104"/>
    <w:rsid w:val="00DA675B"/>
    <w:rsid w:val="00DA6F8D"/>
    <w:rsid w:val="00DB06B0"/>
    <w:rsid w:val="00DB0C76"/>
    <w:rsid w:val="00DB0E80"/>
    <w:rsid w:val="00DB17C6"/>
    <w:rsid w:val="00DB1A63"/>
    <w:rsid w:val="00DB2AD9"/>
    <w:rsid w:val="00DB43AD"/>
    <w:rsid w:val="00DB4B42"/>
    <w:rsid w:val="00DB5256"/>
    <w:rsid w:val="00DB5596"/>
    <w:rsid w:val="00DB7228"/>
    <w:rsid w:val="00DB752A"/>
    <w:rsid w:val="00DB78DC"/>
    <w:rsid w:val="00DC0210"/>
    <w:rsid w:val="00DC0498"/>
    <w:rsid w:val="00DC09B8"/>
    <w:rsid w:val="00DC114F"/>
    <w:rsid w:val="00DC12FB"/>
    <w:rsid w:val="00DC3EC5"/>
    <w:rsid w:val="00DC4730"/>
    <w:rsid w:val="00DC529B"/>
    <w:rsid w:val="00DC59FE"/>
    <w:rsid w:val="00DC5DA0"/>
    <w:rsid w:val="00DC62B7"/>
    <w:rsid w:val="00DC63D4"/>
    <w:rsid w:val="00DC6869"/>
    <w:rsid w:val="00DC762C"/>
    <w:rsid w:val="00DC797C"/>
    <w:rsid w:val="00DC7B04"/>
    <w:rsid w:val="00DD11AD"/>
    <w:rsid w:val="00DD13A6"/>
    <w:rsid w:val="00DD13C1"/>
    <w:rsid w:val="00DD36BE"/>
    <w:rsid w:val="00DD3F07"/>
    <w:rsid w:val="00DD4BFA"/>
    <w:rsid w:val="00DD4C02"/>
    <w:rsid w:val="00DD573B"/>
    <w:rsid w:val="00DD5801"/>
    <w:rsid w:val="00DD6650"/>
    <w:rsid w:val="00DD6CB4"/>
    <w:rsid w:val="00DD741B"/>
    <w:rsid w:val="00DD77CC"/>
    <w:rsid w:val="00DE1271"/>
    <w:rsid w:val="00DE12FE"/>
    <w:rsid w:val="00DE1543"/>
    <w:rsid w:val="00DE34B0"/>
    <w:rsid w:val="00DE3A42"/>
    <w:rsid w:val="00DE4295"/>
    <w:rsid w:val="00DE4A10"/>
    <w:rsid w:val="00DE4BB2"/>
    <w:rsid w:val="00DE4C8F"/>
    <w:rsid w:val="00DE4E20"/>
    <w:rsid w:val="00DE567F"/>
    <w:rsid w:val="00DE64BD"/>
    <w:rsid w:val="00DE6963"/>
    <w:rsid w:val="00DE7595"/>
    <w:rsid w:val="00DF00FC"/>
    <w:rsid w:val="00DF255B"/>
    <w:rsid w:val="00DF2DAF"/>
    <w:rsid w:val="00DF3173"/>
    <w:rsid w:val="00DF35A6"/>
    <w:rsid w:val="00DF3930"/>
    <w:rsid w:val="00DF40A6"/>
    <w:rsid w:val="00DF420C"/>
    <w:rsid w:val="00DF43C5"/>
    <w:rsid w:val="00DF4703"/>
    <w:rsid w:val="00DF47EE"/>
    <w:rsid w:val="00DF5285"/>
    <w:rsid w:val="00DF5431"/>
    <w:rsid w:val="00DF57ED"/>
    <w:rsid w:val="00DF6099"/>
    <w:rsid w:val="00DF73F5"/>
    <w:rsid w:val="00DF7E8B"/>
    <w:rsid w:val="00E008E9"/>
    <w:rsid w:val="00E00B83"/>
    <w:rsid w:val="00E024FB"/>
    <w:rsid w:val="00E03D90"/>
    <w:rsid w:val="00E03E23"/>
    <w:rsid w:val="00E04E13"/>
    <w:rsid w:val="00E05522"/>
    <w:rsid w:val="00E05688"/>
    <w:rsid w:val="00E05C93"/>
    <w:rsid w:val="00E05CFC"/>
    <w:rsid w:val="00E06745"/>
    <w:rsid w:val="00E06E39"/>
    <w:rsid w:val="00E06EFF"/>
    <w:rsid w:val="00E07A66"/>
    <w:rsid w:val="00E12553"/>
    <w:rsid w:val="00E12BD9"/>
    <w:rsid w:val="00E1383D"/>
    <w:rsid w:val="00E13ADF"/>
    <w:rsid w:val="00E14A01"/>
    <w:rsid w:val="00E15289"/>
    <w:rsid w:val="00E1532C"/>
    <w:rsid w:val="00E15672"/>
    <w:rsid w:val="00E16598"/>
    <w:rsid w:val="00E16827"/>
    <w:rsid w:val="00E1770D"/>
    <w:rsid w:val="00E17849"/>
    <w:rsid w:val="00E1788F"/>
    <w:rsid w:val="00E20E6D"/>
    <w:rsid w:val="00E2153F"/>
    <w:rsid w:val="00E21CF5"/>
    <w:rsid w:val="00E21D92"/>
    <w:rsid w:val="00E2248D"/>
    <w:rsid w:val="00E2283A"/>
    <w:rsid w:val="00E23504"/>
    <w:rsid w:val="00E23E69"/>
    <w:rsid w:val="00E23F2B"/>
    <w:rsid w:val="00E261CB"/>
    <w:rsid w:val="00E26494"/>
    <w:rsid w:val="00E265A1"/>
    <w:rsid w:val="00E26E67"/>
    <w:rsid w:val="00E2732F"/>
    <w:rsid w:val="00E278A0"/>
    <w:rsid w:val="00E27999"/>
    <w:rsid w:val="00E27E8B"/>
    <w:rsid w:val="00E30D20"/>
    <w:rsid w:val="00E30EBA"/>
    <w:rsid w:val="00E31069"/>
    <w:rsid w:val="00E312E7"/>
    <w:rsid w:val="00E329FE"/>
    <w:rsid w:val="00E32A96"/>
    <w:rsid w:val="00E32EA9"/>
    <w:rsid w:val="00E330C3"/>
    <w:rsid w:val="00E33103"/>
    <w:rsid w:val="00E33965"/>
    <w:rsid w:val="00E36DA6"/>
    <w:rsid w:val="00E370E2"/>
    <w:rsid w:val="00E37897"/>
    <w:rsid w:val="00E37DF2"/>
    <w:rsid w:val="00E41113"/>
    <w:rsid w:val="00E411D4"/>
    <w:rsid w:val="00E41F43"/>
    <w:rsid w:val="00E422A5"/>
    <w:rsid w:val="00E43148"/>
    <w:rsid w:val="00E434CC"/>
    <w:rsid w:val="00E43BE6"/>
    <w:rsid w:val="00E43C96"/>
    <w:rsid w:val="00E44BA1"/>
    <w:rsid w:val="00E44CB7"/>
    <w:rsid w:val="00E45210"/>
    <w:rsid w:val="00E46903"/>
    <w:rsid w:val="00E46DAE"/>
    <w:rsid w:val="00E47023"/>
    <w:rsid w:val="00E475A5"/>
    <w:rsid w:val="00E47632"/>
    <w:rsid w:val="00E47837"/>
    <w:rsid w:val="00E47A58"/>
    <w:rsid w:val="00E47BE5"/>
    <w:rsid w:val="00E50C58"/>
    <w:rsid w:val="00E50EA6"/>
    <w:rsid w:val="00E517EE"/>
    <w:rsid w:val="00E51F4F"/>
    <w:rsid w:val="00E52B31"/>
    <w:rsid w:val="00E52CE7"/>
    <w:rsid w:val="00E52D37"/>
    <w:rsid w:val="00E53AED"/>
    <w:rsid w:val="00E54072"/>
    <w:rsid w:val="00E54DF8"/>
    <w:rsid w:val="00E55A7C"/>
    <w:rsid w:val="00E55DF3"/>
    <w:rsid w:val="00E55E3A"/>
    <w:rsid w:val="00E5613C"/>
    <w:rsid w:val="00E5618B"/>
    <w:rsid w:val="00E566D8"/>
    <w:rsid w:val="00E5680F"/>
    <w:rsid w:val="00E56F2D"/>
    <w:rsid w:val="00E60066"/>
    <w:rsid w:val="00E60137"/>
    <w:rsid w:val="00E60DA3"/>
    <w:rsid w:val="00E6112E"/>
    <w:rsid w:val="00E61470"/>
    <w:rsid w:val="00E617F5"/>
    <w:rsid w:val="00E61F51"/>
    <w:rsid w:val="00E626DF"/>
    <w:rsid w:val="00E62E6C"/>
    <w:rsid w:val="00E62E7A"/>
    <w:rsid w:val="00E62FB9"/>
    <w:rsid w:val="00E63A22"/>
    <w:rsid w:val="00E64798"/>
    <w:rsid w:val="00E6513B"/>
    <w:rsid w:val="00E65463"/>
    <w:rsid w:val="00E65F3D"/>
    <w:rsid w:val="00E66680"/>
    <w:rsid w:val="00E669F1"/>
    <w:rsid w:val="00E66D2C"/>
    <w:rsid w:val="00E679C6"/>
    <w:rsid w:val="00E67AC4"/>
    <w:rsid w:val="00E67E72"/>
    <w:rsid w:val="00E7015C"/>
    <w:rsid w:val="00E70722"/>
    <w:rsid w:val="00E71088"/>
    <w:rsid w:val="00E7170C"/>
    <w:rsid w:val="00E719E9"/>
    <w:rsid w:val="00E71A9E"/>
    <w:rsid w:val="00E71D20"/>
    <w:rsid w:val="00E71DB5"/>
    <w:rsid w:val="00E723DD"/>
    <w:rsid w:val="00E72A58"/>
    <w:rsid w:val="00E72F21"/>
    <w:rsid w:val="00E72F97"/>
    <w:rsid w:val="00E7393D"/>
    <w:rsid w:val="00E73E5C"/>
    <w:rsid w:val="00E740A1"/>
    <w:rsid w:val="00E7619F"/>
    <w:rsid w:val="00E76982"/>
    <w:rsid w:val="00E76B1D"/>
    <w:rsid w:val="00E815E3"/>
    <w:rsid w:val="00E82043"/>
    <w:rsid w:val="00E8243A"/>
    <w:rsid w:val="00E82757"/>
    <w:rsid w:val="00E82772"/>
    <w:rsid w:val="00E83683"/>
    <w:rsid w:val="00E841E4"/>
    <w:rsid w:val="00E8461A"/>
    <w:rsid w:val="00E84687"/>
    <w:rsid w:val="00E85103"/>
    <w:rsid w:val="00E86958"/>
    <w:rsid w:val="00E86F9F"/>
    <w:rsid w:val="00E86FE0"/>
    <w:rsid w:val="00E87402"/>
    <w:rsid w:val="00E87893"/>
    <w:rsid w:val="00E87EFD"/>
    <w:rsid w:val="00E90477"/>
    <w:rsid w:val="00E90631"/>
    <w:rsid w:val="00E909ED"/>
    <w:rsid w:val="00E90A7C"/>
    <w:rsid w:val="00E90E28"/>
    <w:rsid w:val="00E91608"/>
    <w:rsid w:val="00E93582"/>
    <w:rsid w:val="00E938BF"/>
    <w:rsid w:val="00E939DF"/>
    <w:rsid w:val="00E93C71"/>
    <w:rsid w:val="00E93D3D"/>
    <w:rsid w:val="00E93FDE"/>
    <w:rsid w:val="00E9488D"/>
    <w:rsid w:val="00E94D8A"/>
    <w:rsid w:val="00E951F4"/>
    <w:rsid w:val="00E95577"/>
    <w:rsid w:val="00E95E88"/>
    <w:rsid w:val="00E96091"/>
    <w:rsid w:val="00E96126"/>
    <w:rsid w:val="00E965A1"/>
    <w:rsid w:val="00E96FE4"/>
    <w:rsid w:val="00E971D0"/>
    <w:rsid w:val="00EA0380"/>
    <w:rsid w:val="00EA0D28"/>
    <w:rsid w:val="00EA0DF8"/>
    <w:rsid w:val="00EA2435"/>
    <w:rsid w:val="00EA4321"/>
    <w:rsid w:val="00EA4724"/>
    <w:rsid w:val="00EA4E67"/>
    <w:rsid w:val="00EA50BC"/>
    <w:rsid w:val="00EA6202"/>
    <w:rsid w:val="00EA64E1"/>
    <w:rsid w:val="00EA6EA5"/>
    <w:rsid w:val="00EA7A44"/>
    <w:rsid w:val="00EA7BAB"/>
    <w:rsid w:val="00EA7C22"/>
    <w:rsid w:val="00EA7EE6"/>
    <w:rsid w:val="00EB1B6B"/>
    <w:rsid w:val="00EB1FF5"/>
    <w:rsid w:val="00EB2656"/>
    <w:rsid w:val="00EB2C2C"/>
    <w:rsid w:val="00EB2E68"/>
    <w:rsid w:val="00EB3CF9"/>
    <w:rsid w:val="00EB426A"/>
    <w:rsid w:val="00EB50A8"/>
    <w:rsid w:val="00EB5245"/>
    <w:rsid w:val="00EB5EE5"/>
    <w:rsid w:val="00EB634B"/>
    <w:rsid w:val="00EB641D"/>
    <w:rsid w:val="00EB698D"/>
    <w:rsid w:val="00EB6D8A"/>
    <w:rsid w:val="00EB7FDC"/>
    <w:rsid w:val="00EC057E"/>
    <w:rsid w:val="00EC0B2A"/>
    <w:rsid w:val="00EC1585"/>
    <w:rsid w:val="00EC19B3"/>
    <w:rsid w:val="00EC1BE1"/>
    <w:rsid w:val="00EC3121"/>
    <w:rsid w:val="00EC3252"/>
    <w:rsid w:val="00EC36CD"/>
    <w:rsid w:val="00EC37D8"/>
    <w:rsid w:val="00EC3A40"/>
    <w:rsid w:val="00EC463E"/>
    <w:rsid w:val="00EC4CBB"/>
    <w:rsid w:val="00EC4F9A"/>
    <w:rsid w:val="00EC53F6"/>
    <w:rsid w:val="00EC58BF"/>
    <w:rsid w:val="00EC6406"/>
    <w:rsid w:val="00EC649A"/>
    <w:rsid w:val="00EC70E5"/>
    <w:rsid w:val="00ED09A3"/>
    <w:rsid w:val="00ED0E14"/>
    <w:rsid w:val="00ED1370"/>
    <w:rsid w:val="00ED13EC"/>
    <w:rsid w:val="00ED16A2"/>
    <w:rsid w:val="00ED3173"/>
    <w:rsid w:val="00ED31BD"/>
    <w:rsid w:val="00ED368B"/>
    <w:rsid w:val="00ED384E"/>
    <w:rsid w:val="00ED38A2"/>
    <w:rsid w:val="00ED3B88"/>
    <w:rsid w:val="00ED43C1"/>
    <w:rsid w:val="00ED48FF"/>
    <w:rsid w:val="00ED4D37"/>
    <w:rsid w:val="00ED4F5A"/>
    <w:rsid w:val="00ED55C1"/>
    <w:rsid w:val="00ED7626"/>
    <w:rsid w:val="00ED767F"/>
    <w:rsid w:val="00EE0D81"/>
    <w:rsid w:val="00EE0D99"/>
    <w:rsid w:val="00EE105B"/>
    <w:rsid w:val="00EE1ED3"/>
    <w:rsid w:val="00EE2A7D"/>
    <w:rsid w:val="00EE342F"/>
    <w:rsid w:val="00EE375F"/>
    <w:rsid w:val="00EE3D41"/>
    <w:rsid w:val="00EE48A5"/>
    <w:rsid w:val="00EE5883"/>
    <w:rsid w:val="00EE5AFD"/>
    <w:rsid w:val="00EE6EEE"/>
    <w:rsid w:val="00EE7A18"/>
    <w:rsid w:val="00EE7EF0"/>
    <w:rsid w:val="00EF00B6"/>
    <w:rsid w:val="00EF03CD"/>
    <w:rsid w:val="00EF046A"/>
    <w:rsid w:val="00EF05E5"/>
    <w:rsid w:val="00EF08C7"/>
    <w:rsid w:val="00EF0C58"/>
    <w:rsid w:val="00EF2C5E"/>
    <w:rsid w:val="00EF2CE2"/>
    <w:rsid w:val="00EF35C3"/>
    <w:rsid w:val="00EF3985"/>
    <w:rsid w:val="00EF39AD"/>
    <w:rsid w:val="00EF408C"/>
    <w:rsid w:val="00EF4830"/>
    <w:rsid w:val="00EF486B"/>
    <w:rsid w:val="00EF4D0C"/>
    <w:rsid w:val="00EF69D8"/>
    <w:rsid w:val="00EF6FAC"/>
    <w:rsid w:val="00EF721B"/>
    <w:rsid w:val="00EF744D"/>
    <w:rsid w:val="00F00122"/>
    <w:rsid w:val="00F0087E"/>
    <w:rsid w:val="00F00A1C"/>
    <w:rsid w:val="00F01407"/>
    <w:rsid w:val="00F017D2"/>
    <w:rsid w:val="00F01B33"/>
    <w:rsid w:val="00F01BD8"/>
    <w:rsid w:val="00F01F04"/>
    <w:rsid w:val="00F036CA"/>
    <w:rsid w:val="00F03868"/>
    <w:rsid w:val="00F03CC4"/>
    <w:rsid w:val="00F0455F"/>
    <w:rsid w:val="00F0508C"/>
    <w:rsid w:val="00F05486"/>
    <w:rsid w:val="00F05A19"/>
    <w:rsid w:val="00F05D8F"/>
    <w:rsid w:val="00F07350"/>
    <w:rsid w:val="00F07893"/>
    <w:rsid w:val="00F078D1"/>
    <w:rsid w:val="00F10A23"/>
    <w:rsid w:val="00F10D3D"/>
    <w:rsid w:val="00F110F9"/>
    <w:rsid w:val="00F11379"/>
    <w:rsid w:val="00F11869"/>
    <w:rsid w:val="00F122BB"/>
    <w:rsid w:val="00F12F50"/>
    <w:rsid w:val="00F13036"/>
    <w:rsid w:val="00F138BE"/>
    <w:rsid w:val="00F138F6"/>
    <w:rsid w:val="00F149E1"/>
    <w:rsid w:val="00F14E44"/>
    <w:rsid w:val="00F15A65"/>
    <w:rsid w:val="00F15DB6"/>
    <w:rsid w:val="00F1606C"/>
    <w:rsid w:val="00F16D65"/>
    <w:rsid w:val="00F17FB8"/>
    <w:rsid w:val="00F2039F"/>
    <w:rsid w:val="00F20E23"/>
    <w:rsid w:val="00F21704"/>
    <w:rsid w:val="00F21743"/>
    <w:rsid w:val="00F22296"/>
    <w:rsid w:val="00F2250B"/>
    <w:rsid w:val="00F22DAE"/>
    <w:rsid w:val="00F23407"/>
    <w:rsid w:val="00F24FFA"/>
    <w:rsid w:val="00F254AC"/>
    <w:rsid w:val="00F254F1"/>
    <w:rsid w:val="00F258D5"/>
    <w:rsid w:val="00F261CE"/>
    <w:rsid w:val="00F26509"/>
    <w:rsid w:val="00F2672C"/>
    <w:rsid w:val="00F27087"/>
    <w:rsid w:val="00F27936"/>
    <w:rsid w:val="00F27CC6"/>
    <w:rsid w:val="00F27DA0"/>
    <w:rsid w:val="00F27FAB"/>
    <w:rsid w:val="00F303E5"/>
    <w:rsid w:val="00F30BD2"/>
    <w:rsid w:val="00F3111C"/>
    <w:rsid w:val="00F31295"/>
    <w:rsid w:val="00F3221F"/>
    <w:rsid w:val="00F33B60"/>
    <w:rsid w:val="00F33C26"/>
    <w:rsid w:val="00F35413"/>
    <w:rsid w:val="00F354E5"/>
    <w:rsid w:val="00F35669"/>
    <w:rsid w:val="00F36D46"/>
    <w:rsid w:val="00F4002F"/>
    <w:rsid w:val="00F40DAB"/>
    <w:rsid w:val="00F41AC4"/>
    <w:rsid w:val="00F41D8E"/>
    <w:rsid w:val="00F42801"/>
    <w:rsid w:val="00F42A91"/>
    <w:rsid w:val="00F42D5E"/>
    <w:rsid w:val="00F4326B"/>
    <w:rsid w:val="00F43449"/>
    <w:rsid w:val="00F4349C"/>
    <w:rsid w:val="00F435B9"/>
    <w:rsid w:val="00F438BC"/>
    <w:rsid w:val="00F439FC"/>
    <w:rsid w:val="00F43A2F"/>
    <w:rsid w:val="00F43BC0"/>
    <w:rsid w:val="00F44424"/>
    <w:rsid w:val="00F448A8"/>
    <w:rsid w:val="00F45485"/>
    <w:rsid w:val="00F45665"/>
    <w:rsid w:val="00F46A97"/>
    <w:rsid w:val="00F472DD"/>
    <w:rsid w:val="00F4761E"/>
    <w:rsid w:val="00F5036B"/>
    <w:rsid w:val="00F50B34"/>
    <w:rsid w:val="00F50BAC"/>
    <w:rsid w:val="00F521CC"/>
    <w:rsid w:val="00F52241"/>
    <w:rsid w:val="00F523B9"/>
    <w:rsid w:val="00F52B95"/>
    <w:rsid w:val="00F52D75"/>
    <w:rsid w:val="00F53DC7"/>
    <w:rsid w:val="00F54961"/>
    <w:rsid w:val="00F5496D"/>
    <w:rsid w:val="00F55583"/>
    <w:rsid w:val="00F55B9E"/>
    <w:rsid w:val="00F579B8"/>
    <w:rsid w:val="00F57B84"/>
    <w:rsid w:val="00F60A38"/>
    <w:rsid w:val="00F612A8"/>
    <w:rsid w:val="00F61C7D"/>
    <w:rsid w:val="00F61E41"/>
    <w:rsid w:val="00F63867"/>
    <w:rsid w:val="00F63BAC"/>
    <w:rsid w:val="00F63C1F"/>
    <w:rsid w:val="00F63DBC"/>
    <w:rsid w:val="00F6403C"/>
    <w:rsid w:val="00F64454"/>
    <w:rsid w:val="00F64DAE"/>
    <w:rsid w:val="00F6731C"/>
    <w:rsid w:val="00F67DB3"/>
    <w:rsid w:val="00F70989"/>
    <w:rsid w:val="00F71294"/>
    <w:rsid w:val="00F71453"/>
    <w:rsid w:val="00F7156A"/>
    <w:rsid w:val="00F71E2A"/>
    <w:rsid w:val="00F723A9"/>
    <w:rsid w:val="00F7385E"/>
    <w:rsid w:val="00F73F80"/>
    <w:rsid w:val="00F74D7B"/>
    <w:rsid w:val="00F75133"/>
    <w:rsid w:val="00F75628"/>
    <w:rsid w:val="00F75BC8"/>
    <w:rsid w:val="00F75F69"/>
    <w:rsid w:val="00F76444"/>
    <w:rsid w:val="00F776A7"/>
    <w:rsid w:val="00F778B1"/>
    <w:rsid w:val="00F778F2"/>
    <w:rsid w:val="00F77E19"/>
    <w:rsid w:val="00F807D6"/>
    <w:rsid w:val="00F80BAA"/>
    <w:rsid w:val="00F819F8"/>
    <w:rsid w:val="00F82596"/>
    <w:rsid w:val="00F825A5"/>
    <w:rsid w:val="00F82689"/>
    <w:rsid w:val="00F827A3"/>
    <w:rsid w:val="00F827A5"/>
    <w:rsid w:val="00F82CE5"/>
    <w:rsid w:val="00F8316C"/>
    <w:rsid w:val="00F84337"/>
    <w:rsid w:val="00F851E5"/>
    <w:rsid w:val="00F85317"/>
    <w:rsid w:val="00F8550B"/>
    <w:rsid w:val="00F86BDC"/>
    <w:rsid w:val="00F86EFD"/>
    <w:rsid w:val="00F87256"/>
    <w:rsid w:val="00F875F6"/>
    <w:rsid w:val="00F90793"/>
    <w:rsid w:val="00F90947"/>
    <w:rsid w:val="00F9131B"/>
    <w:rsid w:val="00F917E7"/>
    <w:rsid w:val="00F91D27"/>
    <w:rsid w:val="00F9288D"/>
    <w:rsid w:val="00F92A5D"/>
    <w:rsid w:val="00F9358D"/>
    <w:rsid w:val="00F9681A"/>
    <w:rsid w:val="00F96933"/>
    <w:rsid w:val="00F969DE"/>
    <w:rsid w:val="00F97825"/>
    <w:rsid w:val="00F97C95"/>
    <w:rsid w:val="00F97E2E"/>
    <w:rsid w:val="00FA1005"/>
    <w:rsid w:val="00FA1AAB"/>
    <w:rsid w:val="00FA222D"/>
    <w:rsid w:val="00FA2644"/>
    <w:rsid w:val="00FA2747"/>
    <w:rsid w:val="00FA2BF7"/>
    <w:rsid w:val="00FA2E30"/>
    <w:rsid w:val="00FA30C4"/>
    <w:rsid w:val="00FA36FA"/>
    <w:rsid w:val="00FA385E"/>
    <w:rsid w:val="00FA3EB5"/>
    <w:rsid w:val="00FA4F8F"/>
    <w:rsid w:val="00FA5EA6"/>
    <w:rsid w:val="00FA611E"/>
    <w:rsid w:val="00FA6205"/>
    <w:rsid w:val="00FA6538"/>
    <w:rsid w:val="00FA67BB"/>
    <w:rsid w:val="00FA7363"/>
    <w:rsid w:val="00FA737D"/>
    <w:rsid w:val="00FA73DF"/>
    <w:rsid w:val="00FB01CD"/>
    <w:rsid w:val="00FB0948"/>
    <w:rsid w:val="00FB0996"/>
    <w:rsid w:val="00FB09DA"/>
    <w:rsid w:val="00FB0F3B"/>
    <w:rsid w:val="00FB1019"/>
    <w:rsid w:val="00FB101A"/>
    <w:rsid w:val="00FB14D7"/>
    <w:rsid w:val="00FB1C42"/>
    <w:rsid w:val="00FB1D55"/>
    <w:rsid w:val="00FB2054"/>
    <w:rsid w:val="00FB287C"/>
    <w:rsid w:val="00FB2C0C"/>
    <w:rsid w:val="00FB3F0B"/>
    <w:rsid w:val="00FB482D"/>
    <w:rsid w:val="00FB4D4F"/>
    <w:rsid w:val="00FB5188"/>
    <w:rsid w:val="00FB526D"/>
    <w:rsid w:val="00FB582E"/>
    <w:rsid w:val="00FB5A0E"/>
    <w:rsid w:val="00FB7696"/>
    <w:rsid w:val="00FB7840"/>
    <w:rsid w:val="00FB7F79"/>
    <w:rsid w:val="00FC0A16"/>
    <w:rsid w:val="00FC0F2A"/>
    <w:rsid w:val="00FC16E9"/>
    <w:rsid w:val="00FC19E4"/>
    <w:rsid w:val="00FC1E02"/>
    <w:rsid w:val="00FC29C2"/>
    <w:rsid w:val="00FC2E99"/>
    <w:rsid w:val="00FC42A8"/>
    <w:rsid w:val="00FC4332"/>
    <w:rsid w:val="00FC4494"/>
    <w:rsid w:val="00FC45C9"/>
    <w:rsid w:val="00FC45D6"/>
    <w:rsid w:val="00FC4678"/>
    <w:rsid w:val="00FC4C1E"/>
    <w:rsid w:val="00FC5F9C"/>
    <w:rsid w:val="00FC686D"/>
    <w:rsid w:val="00FC712E"/>
    <w:rsid w:val="00FD024C"/>
    <w:rsid w:val="00FD0331"/>
    <w:rsid w:val="00FD0A04"/>
    <w:rsid w:val="00FD1344"/>
    <w:rsid w:val="00FD2973"/>
    <w:rsid w:val="00FD2AB0"/>
    <w:rsid w:val="00FD2C23"/>
    <w:rsid w:val="00FD37AA"/>
    <w:rsid w:val="00FD3CD6"/>
    <w:rsid w:val="00FD4146"/>
    <w:rsid w:val="00FD4EF4"/>
    <w:rsid w:val="00FD50E7"/>
    <w:rsid w:val="00FD54EC"/>
    <w:rsid w:val="00FD5CD4"/>
    <w:rsid w:val="00FD6605"/>
    <w:rsid w:val="00FD69CE"/>
    <w:rsid w:val="00FD6BA2"/>
    <w:rsid w:val="00FD6C9B"/>
    <w:rsid w:val="00FD72CF"/>
    <w:rsid w:val="00FD79A5"/>
    <w:rsid w:val="00FE0271"/>
    <w:rsid w:val="00FE0528"/>
    <w:rsid w:val="00FE0CED"/>
    <w:rsid w:val="00FE15EB"/>
    <w:rsid w:val="00FE1C4E"/>
    <w:rsid w:val="00FE1C72"/>
    <w:rsid w:val="00FE26B9"/>
    <w:rsid w:val="00FE26FB"/>
    <w:rsid w:val="00FE32CF"/>
    <w:rsid w:val="00FE4604"/>
    <w:rsid w:val="00FE4DAA"/>
    <w:rsid w:val="00FE55E8"/>
    <w:rsid w:val="00FE73B7"/>
    <w:rsid w:val="00FE74DD"/>
    <w:rsid w:val="00FE75A1"/>
    <w:rsid w:val="00FF208A"/>
    <w:rsid w:val="00FF20D4"/>
    <w:rsid w:val="00FF2F34"/>
    <w:rsid w:val="00FF30BD"/>
    <w:rsid w:val="00FF3444"/>
    <w:rsid w:val="00FF38A7"/>
    <w:rsid w:val="00FF3A90"/>
    <w:rsid w:val="00FF3B55"/>
    <w:rsid w:val="00FF3CF8"/>
    <w:rsid w:val="00FF4AD3"/>
    <w:rsid w:val="00FF5AF4"/>
    <w:rsid w:val="00FF5C0D"/>
    <w:rsid w:val="00FF6155"/>
    <w:rsid w:val="00FF681A"/>
    <w:rsid w:val="00FF68AB"/>
    <w:rsid w:val="00FF7AB9"/>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2015"/>
  <w15:docId w15:val="{8D009F1E-FAF4-47A2-9BA7-2573D219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71"/>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2"/>
    <w:link w:val="Heading1Char"/>
    <w:qFormat/>
    <w:rsid w:val="00BA2538"/>
    <w:pPr>
      <w:keepLines/>
      <w:widowControl/>
      <w:numPr>
        <w:numId w:val="1"/>
      </w:numPr>
      <w:spacing w:line="360" w:lineRule="auto"/>
      <w:ind w:left="720"/>
      <w:contextualSpacing/>
      <w:jc w:val="center"/>
      <w:outlineLvl w:val="0"/>
    </w:pPr>
    <w:rPr>
      <w:b/>
      <w:bCs/>
      <w:sz w:val="26"/>
      <w:szCs w:val="26"/>
    </w:rPr>
  </w:style>
  <w:style w:type="paragraph" w:styleId="Heading2">
    <w:name w:val="heading 2"/>
    <w:basedOn w:val="Normal"/>
    <w:next w:val="BodyText2"/>
    <w:link w:val="Heading2Char"/>
    <w:qFormat/>
    <w:rsid w:val="00BA2538"/>
    <w:pPr>
      <w:keepNext/>
      <w:keepLines/>
      <w:widowControl/>
      <w:ind w:left="720" w:hanging="720"/>
      <w:contextualSpacing/>
      <w:outlineLvl w:val="1"/>
    </w:pPr>
    <w:rPr>
      <w:b/>
      <w:bCs/>
      <w:iCs/>
      <w:sz w:val="26"/>
      <w:szCs w:val="26"/>
    </w:rPr>
  </w:style>
  <w:style w:type="paragraph" w:styleId="Heading3">
    <w:name w:val="heading 3"/>
    <w:basedOn w:val="Normal"/>
    <w:next w:val="BodyText2"/>
    <w:link w:val="Heading3Char"/>
    <w:qFormat/>
    <w:rsid w:val="00BA2538"/>
    <w:pPr>
      <w:keepNext/>
      <w:keepLines/>
      <w:widowControl/>
      <w:numPr>
        <w:numId w:val="14"/>
      </w:numPr>
      <w:autoSpaceDE w:val="0"/>
      <w:autoSpaceDN w:val="0"/>
      <w:spacing w:line="360" w:lineRule="auto"/>
      <w:ind w:left="1440" w:hanging="720"/>
      <w:contextualSpacing/>
      <w:outlineLvl w:val="2"/>
    </w:pPr>
    <w:rPr>
      <w:b/>
      <w:bCs/>
      <w:sz w:val="26"/>
      <w:szCs w:val="26"/>
    </w:rPr>
  </w:style>
  <w:style w:type="paragraph" w:styleId="Heading4">
    <w:name w:val="heading 4"/>
    <w:basedOn w:val="ListParagraph"/>
    <w:next w:val="BodyText2"/>
    <w:link w:val="Heading4Char"/>
    <w:qFormat/>
    <w:rsid w:val="00BA2538"/>
    <w:pPr>
      <w:keepNext/>
      <w:keepLines/>
      <w:numPr>
        <w:numId w:val="23"/>
      </w:numPr>
      <w:spacing w:line="360" w:lineRule="auto"/>
      <w:contextualSpacing/>
      <w:outlineLvl w:val="3"/>
    </w:pPr>
    <w:rPr>
      <w:rFonts w:eastAsiaTheme="majorEastAsia"/>
      <w:b/>
      <w:bCs/>
      <w:sz w:val="26"/>
      <w:szCs w:val="26"/>
    </w:rPr>
  </w:style>
  <w:style w:type="paragraph" w:styleId="Heading5">
    <w:name w:val="heading 5"/>
    <w:basedOn w:val="Normal"/>
    <w:next w:val="BodyText2"/>
    <w:link w:val="Heading5Char"/>
    <w:qFormat/>
    <w:rsid w:val="00FF4AD3"/>
    <w:pPr>
      <w:widowControl/>
      <w:spacing w:after="240"/>
      <w:jc w:val="both"/>
      <w:outlineLvl w:val="4"/>
    </w:pPr>
    <w:rPr>
      <w:b/>
      <w:bCs/>
      <w:iCs/>
      <w:sz w:val="24"/>
      <w:szCs w:val="26"/>
    </w:rPr>
  </w:style>
  <w:style w:type="paragraph" w:styleId="Heading6">
    <w:name w:val="heading 6"/>
    <w:basedOn w:val="Normal"/>
    <w:next w:val="BodyText2"/>
    <w:link w:val="Heading6Char"/>
    <w:qFormat/>
    <w:rsid w:val="00FF4AD3"/>
    <w:pPr>
      <w:widowControl/>
      <w:spacing w:after="240"/>
      <w:outlineLvl w:val="5"/>
    </w:pPr>
    <w:rPr>
      <w:b/>
      <w:bCs/>
      <w:sz w:val="24"/>
      <w:szCs w:val="22"/>
    </w:rPr>
  </w:style>
  <w:style w:type="paragraph" w:styleId="Heading7">
    <w:name w:val="heading 7"/>
    <w:basedOn w:val="Normal"/>
    <w:next w:val="BodyText2"/>
    <w:link w:val="Heading7Char"/>
    <w:qFormat/>
    <w:rsid w:val="00FF4AD3"/>
    <w:pPr>
      <w:widowControl/>
      <w:spacing w:after="240"/>
      <w:outlineLvl w:val="6"/>
    </w:pPr>
    <w:rPr>
      <w:b/>
      <w:sz w:val="24"/>
      <w:szCs w:val="24"/>
    </w:rPr>
  </w:style>
  <w:style w:type="paragraph" w:styleId="Heading8">
    <w:name w:val="heading 8"/>
    <w:basedOn w:val="Normal"/>
    <w:next w:val="BodyText2"/>
    <w:link w:val="Heading8Char"/>
    <w:qFormat/>
    <w:rsid w:val="00FF4AD3"/>
    <w:pPr>
      <w:widowControl/>
      <w:spacing w:after="240"/>
      <w:jc w:val="both"/>
      <w:outlineLvl w:val="7"/>
    </w:pPr>
    <w:rPr>
      <w:b/>
      <w:iCs/>
      <w:sz w:val="24"/>
      <w:szCs w:val="24"/>
    </w:rPr>
  </w:style>
  <w:style w:type="paragraph" w:styleId="Heading9">
    <w:name w:val="heading 9"/>
    <w:basedOn w:val="Normal"/>
    <w:next w:val="BodyText2"/>
    <w:link w:val="Heading9Char"/>
    <w:qFormat/>
    <w:rsid w:val="00FF4AD3"/>
    <w:pPr>
      <w:widowControl/>
      <w:spacing w:after="24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71"/>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432C71"/>
    <w:pPr>
      <w:widowControl/>
      <w:ind w:left="720"/>
    </w:pPr>
    <w:rPr>
      <w:sz w:val="24"/>
      <w:szCs w:val="24"/>
    </w:rPr>
  </w:style>
  <w:style w:type="paragraph" w:styleId="Header">
    <w:name w:val="header"/>
    <w:basedOn w:val="Normal"/>
    <w:link w:val="HeaderChar"/>
    <w:uiPriority w:val="99"/>
    <w:unhideWhenUsed/>
    <w:rsid w:val="002179E4"/>
    <w:pPr>
      <w:tabs>
        <w:tab w:val="center" w:pos="4680"/>
        <w:tab w:val="right" w:pos="9360"/>
      </w:tabs>
    </w:pPr>
  </w:style>
  <w:style w:type="character" w:customStyle="1" w:styleId="HeaderChar">
    <w:name w:val="Header Char"/>
    <w:basedOn w:val="DefaultParagraphFont"/>
    <w:link w:val="Header"/>
    <w:uiPriority w:val="99"/>
    <w:rsid w:val="002179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9E4"/>
    <w:pPr>
      <w:tabs>
        <w:tab w:val="center" w:pos="4680"/>
        <w:tab w:val="right" w:pos="9360"/>
      </w:tabs>
    </w:pPr>
  </w:style>
  <w:style w:type="character" w:customStyle="1" w:styleId="FooterChar">
    <w:name w:val="Footer Char"/>
    <w:basedOn w:val="DefaultParagraphFont"/>
    <w:link w:val="Footer"/>
    <w:uiPriority w:val="99"/>
    <w:rsid w:val="002179E4"/>
    <w:rPr>
      <w:rFonts w:ascii="Times New Roman" w:eastAsia="Times New Roman" w:hAnsi="Times New Roman" w:cs="Times New Roman"/>
      <w:sz w:val="20"/>
      <w:szCs w:val="20"/>
    </w:rPr>
  </w:style>
  <w:style w:type="paragraph" w:styleId="FootnoteText">
    <w:name w:val="footnote text"/>
    <w:aliases w:val="Footnote Text Char2,Footnote Text Char Char,Footnote Text Char1 Char Char,Footnote Text Char Char Char Char,Footnote Text Char1 Char1,Footnote Text Char Char1 Char,Footnote Text Char1,Footnote Text Char Char1,ft,fn,Footnote Text Char1 Char"/>
    <w:basedOn w:val="Normal"/>
    <w:link w:val="FootnoteTextChar"/>
    <w:uiPriority w:val="99"/>
    <w:qFormat/>
    <w:rsid w:val="007C06C6"/>
    <w:pPr>
      <w:widowControl/>
      <w:spacing w:line="360" w:lineRule="auto"/>
      <w:ind w:firstLine="720"/>
      <w:jc w:val="center"/>
    </w:pPr>
    <w:rPr>
      <w:sz w:val="24"/>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Footnote Text Char1 Char2,ft Char"/>
    <w:basedOn w:val="DefaultParagraphFont"/>
    <w:link w:val="FootnoteText"/>
    <w:uiPriority w:val="99"/>
    <w:qFormat/>
    <w:rsid w:val="007C06C6"/>
    <w:rPr>
      <w:rFonts w:ascii="Times New Roman" w:eastAsia="Times New Roman" w:hAnsi="Times New Roman" w:cs="Times New Roman"/>
      <w:sz w:val="24"/>
      <w:szCs w:val="20"/>
    </w:rPr>
  </w:style>
  <w:style w:type="character" w:styleId="FootnoteReference">
    <w:name w:val="footnote reference"/>
    <w:aliases w:val="Style 13,Style 12,fr,Style 28,(NECG) Footnote Reference,Style 11,Style 9,o,Style 16,Style 15,Style 17,Style 20,o1,fr1,o2,fr2,o3,fr3,Style 8,Style 7,Style 19,Style 6,Appel note de bas de p,Style 3,Style 124,FR,Footnote Reference/"/>
    <w:basedOn w:val="DefaultParagraphFont"/>
    <w:uiPriority w:val="99"/>
    <w:qFormat/>
    <w:rsid w:val="007C06C6"/>
    <w:rPr>
      <w:vertAlign w:val="superscript"/>
    </w:rPr>
  </w:style>
  <w:style w:type="paragraph" w:styleId="BodyText2">
    <w:name w:val="Body Text 2"/>
    <w:basedOn w:val="Normal"/>
    <w:link w:val="BodyText2Char"/>
    <w:uiPriority w:val="99"/>
    <w:unhideWhenUsed/>
    <w:rsid w:val="007C06C6"/>
    <w:pPr>
      <w:spacing w:after="120" w:line="480" w:lineRule="auto"/>
    </w:pPr>
  </w:style>
  <w:style w:type="character" w:customStyle="1" w:styleId="BodyText2Char">
    <w:name w:val="Body Text 2 Char"/>
    <w:basedOn w:val="DefaultParagraphFont"/>
    <w:link w:val="BodyText2"/>
    <w:uiPriority w:val="99"/>
    <w:rsid w:val="007C06C6"/>
    <w:rPr>
      <w:rFonts w:ascii="Times New Roman" w:eastAsia="Times New Roman" w:hAnsi="Times New Roman" w:cs="Times New Roman"/>
      <w:sz w:val="20"/>
      <w:szCs w:val="20"/>
    </w:rPr>
  </w:style>
  <w:style w:type="character" w:styleId="Hyperlink">
    <w:name w:val="Hyperlink"/>
    <w:basedOn w:val="DefaultParagraphFont"/>
    <w:uiPriority w:val="99"/>
    <w:rsid w:val="007C06C6"/>
    <w:rPr>
      <w:color w:val="0000FF"/>
      <w:u w:val="single"/>
    </w:rPr>
  </w:style>
  <w:style w:type="character" w:customStyle="1" w:styleId="term1">
    <w:name w:val="term1"/>
    <w:basedOn w:val="DefaultParagraphFont"/>
    <w:rsid w:val="007C06C6"/>
    <w:rPr>
      <w:b/>
      <w:bCs/>
    </w:rPr>
  </w:style>
  <w:style w:type="paragraph" w:styleId="BodyText">
    <w:name w:val="Body Text"/>
    <w:basedOn w:val="Normal"/>
    <w:link w:val="BodyTextChar"/>
    <w:uiPriority w:val="99"/>
    <w:semiHidden/>
    <w:unhideWhenUsed/>
    <w:rsid w:val="00FF4AD3"/>
    <w:pPr>
      <w:spacing w:after="120"/>
    </w:pPr>
  </w:style>
  <w:style w:type="character" w:customStyle="1" w:styleId="BodyTextChar">
    <w:name w:val="Body Text Char"/>
    <w:basedOn w:val="DefaultParagraphFont"/>
    <w:link w:val="BodyText"/>
    <w:uiPriority w:val="99"/>
    <w:semiHidden/>
    <w:rsid w:val="00FF4AD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A2538"/>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rsid w:val="00BA2538"/>
    <w:rPr>
      <w:rFonts w:ascii="Times New Roman" w:eastAsia="Times New Roman" w:hAnsi="Times New Roman" w:cs="Times New Roman"/>
      <w:b/>
      <w:bCs/>
      <w:iCs/>
      <w:sz w:val="26"/>
      <w:szCs w:val="26"/>
    </w:rPr>
  </w:style>
  <w:style w:type="character" w:customStyle="1" w:styleId="Heading3Char">
    <w:name w:val="Heading 3 Char"/>
    <w:basedOn w:val="DefaultParagraphFont"/>
    <w:link w:val="Heading3"/>
    <w:rsid w:val="00BA2538"/>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BA2538"/>
    <w:rPr>
      <w:rFonts w:ascii="Times New Roman" w:eastAsiaTheme="majorEastAsia" w:hAnsi="Times New Roman" w:cs="Times New Roman"/>
      <w:b/>
      <w:bCs/>
      <w:sz w:val="26"/>
      <w:szCs w:val="26"/>
    </w:rPr>
  </w:style>
  <w:style w:type="character" w:customStyle="1" w:styleId="Heading5Char">
    <w:name w:val="Heading 5 Char"/>
    <w:basedOn w:val="DefaultParagraphFont"/>
    <w:link w:val="Heading5"/>
    <w:rsid w:val="00FF4AD3"/>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FF4AD3"/>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FF4AD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F4AD3"/>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FF4AD3"/>
    <w:rPr>
      <w:rFonts w:ascii="Times New Roman" w:eastAsia="Times New Roman" w:hAnsi="Times New Roman" w:cs="Times New Roman"/>
      <w:b/>
      <w:sz w:val="24"/>
    </w:rPr>
  </w:style>
  <w:style w:type="paragraph" w:styleId="ListNumber">
    <w:name w:val="List Number"/>
    <w:basedOn w:val="Normal"/>
    <w:rsid w:val="00FF4AD3"/>
    <w:pPr>
      <w:widowControl/>
      <w:numPr>
        <w:numId w:val="2"/>
      </w:numPr>
      <w:spacing w:line="480" w:lineRule="auto"/>
    </w:pPr>
    <w:rPr>
      <w:sz w:val="24"/>
      <w:szCs w:val="24"/>
    </w:rPr>
  </w:style>
  <w:style w:type="paragraph" w:customStyle="1" w:styleId="Default">
    <w:name w:val="Default"/>
    <w:rsid w:val="001C192E"/>
    <w:pPr>
      <w:autoSpaceDE w:val="0"/>
      <w:autoSpaceDN w:val="0"/>
      <w:adjustRightInd w:val="0"/>
      <w:spacing w:after="0" w:line="360" w:lineRule="auto"/>
      <w:ind w:firstLine="144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990438"/>
    <w:rPr>
      <w:rFonts w:ascii="Tahoma" w:hAnsi="Tahoma" w:cs="Tahoma"/>
      <w:sz w:val="16"/>
      <w:szCs w:val="16"/>
    </w:rPr>
  </w:style>
  <w:style w:type="character" w:customStyle="1" w:styleId="BalloonTextChar">
    <w:name w:val="Balloon Text Char"/>
    <w:basedOn w:val="DefaultParagraphFont"/>
    <w:link w:val="BalloonText"/>
    <w:uiPriority w:val="99"/>
    <w:semiHidden/>
    <w:rsid w:val="00990438"/>
    <w:rPr>
      <w:rFonts w:ascii="Tahoma" w:eastAsia="Times New Roman" w:hAnsi="Tahoma" w:cs="Tahoma"/>
      <w:sz w:val="16"/>
      <w:szCs w:val="16"/>
    </w:rPr>
  </w:style>
  <w:style w:type="paragraph" w:customStyle="1" w:styleId="OutlineL1">
    <w:name w:val="Outline_L1"/>
    <w:basedOn w:val="Normal"/>
    <w:next w:val="FootnoteText"/>
    <w:rsid w:val="00691D00"/>
    <w:pPr>
      <w:keepNext/>
      <w:widowControl/>
      <w:numPr>
        <w:numId w:val="3"/>
      </w:numPr>
      <w:spacing w:after="240"/>
      <w:jc w:val="center"/>
      <w:outlineLvl w:val="0"/>
    </w:pPr>
    <w:rPr>
      <w:rFonts w:ascii="Times New Roman Bold" w:hAnsi="Times New Roman Bold"/>
      <w:b/>
      <w:caps/>
      <w:sz w:val="24"/>
    </w:rPr>
  </w:style>
  <w:style w:type="paragraph" w:customStyle="1" w:styleId="OutlineL2">
    <w:name w:val="Outline_L2"/>
    <w:basedOn w:val="OutlineL1"/>
    <w:rsid w:val="00691D00"/>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691D00"/>
    <w:pPr>
      <w:numPr>
        <w:ilvl w:val="2"/>
      </w:numPr>
      <w:spacing w:after="120"/>
      <w:outlineLvl w:val="2"/>
    </w:pPr>
  </w:style>
  <w:style w:type="paragraph" w:customStyle="1" w:styleId="OutlineL4">
    <w:name w:val="Outline_L4"/>
    <w:basedOn w:val="OutlineL3"/>
    <w:rsid w:val="00691D00"/>
    <w:pPr>
      <w:numPr>
        <w:ilvl w:val="3"/>
      </w:numPr>
      <w:outlineLvl w:val="3"/>
    </w:pPr>
  </w:style>
  <w:style w:type="paragraph" w:customStyle="1" w:styleId="OutlineL5">
    <w:name w:val="Outline_L5"/>
    <w:basedOn w:val="OutlineL4"/>
    <w:rsid w:val="00691D00"/>
    <w:pPr>
      <w:numPr>
        <w:ilvl w:val="4"/>
      </w:numPr>
      <w:spacing w:line="240" w:lineRule="auto"/>
      <w:outlineLvl w:val="4"/>
    </w:pPr>
  </w:style>
  <w:style w:type="paragraph" w:customStyle="1" w:styleId="OutlineL6">
    <w:name w:val="Outline_L6"/>
    <w:basedOn w:val="OutlineL5"/>
    <w:rsid w:val="00691D00"/>
    <w:pPr>
      <w:numPr>
        <w:ilvl w:val="5"/>
      </w:numPr>
      <w:spacing w:after="240"/>
      <w:outlineLvl w:val="5"/>
    </w:pPr>
    <w:rPr>
      <w:szCs w:val="24"/>
    </w:rPr>
  </w:style>
  <w:style w:type="paragraph" w:customStyle="1" w:styleId="OutlineL7">
    <w:name w:val="Outline_L7"/>
    <w:basedOn w:val="OutlineL6"/>
    <w:rsid w:val="00691D00"/>
    <w:pPr>
      <w:numPr>
        <w:ilvl w:val="6"/>
      </w:numPr>
      <w:outlineLvl w:val="6"/>
    </w:pPr>
    <w:rPr>
      <w:rFonts w:ascii="Times New Roman Bold" w:hAnsi="Times New Roman Bold"/>
      <w:b/>
    </w:rPr>
  </w:style>
  <w:style w:type="paragraph" w:customStyle="1" w:styleId="OutlineL8">
    <w:name w:val="Outline_L8"/>
    <w:basedOn w:val="OutlineL7"/>
    <w:rsid w:val="00691D00"/>
    <w:pPr>
      <w:numPr>
        <w:ilvl w:val="7"/>
      </w:numPr>
      <w:outlineLvl w:val="7"/>
    </w:pPr>
  </w:style>
  <w:style w:type="paragraph" w:customStyle="1" w:styleId="OutlineL9">
    <w:name w:val="Outline_L9"/>
    <w:basedOn w:val="OutlineL8"/>
    <w:rsid w:val="00691D00"/>
    <w:pPr>
      <w:numPr>
        <w:ilvl w:val="8"/>
      </w:numPr>
      <w:outlineLvl w:val="8"/>
    </w:pPr>
  </w:style>
  <w:style w:type="character" w:styleId="CommentReference">
    <w:name w:val="annotation reference"/>
    <w:basedOn w:val="DefaultParagraphFont"/>
    <w:uiPriority w:val="99"/>
    <w:semiHidden/>
    <w:unhideWhenUsed/>
    <w:rsid w:val="00F73F80"/>
    <w:rPr>
      <w:sz w:val="16"/>
      <w:szCs w:val="16"/>
    </w:rPr>
  </w:style>
  <w:style w:type="paragraph" w:styleId="CommentText">
    <w:name w:val="annotation text"/>
    <w:basedOn w:val="Normal"/>
    <w:link w:val="CommentTextChar"/>
    <w:uiPriority w:val="99"/>
    <w:semiHidden/>
    <w:unhideWhenUsed/>
    <w:rsid w:val="00F73F80"/>
  </w:style>
  <w:style w:type="character" w:customStyle="1" w:styleId="CommentTextChar">
    <w:name w:val="Comment Text Char"/>
    <w:basedOn w:val="DefaultParagraphFont"/>
    <w:link w:val="CommentText"/>
    <w:uiPriority w:val="99"/>
    <w:semiHidden/>
    <w:rsid w:val="00F73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F80"/>
    <w:rPr>
      <w:b/>
      <w:bCs/>
    </w:rPr>
  </w:style>
  <w:style w:type="character" w:customStyle="1" w:styleId="CommentSubjectChar">
    <w:name w:val="Comment Subject Char"/>
    <w:basedOn w:val="CommentTextChar"/>
    <w:link w:val="CommentSubject"/>
    <w:uiPriority w:val="99"/>
    <w:semiHidden/>
    <w:rsid w:val="00F73F80"/>
    <w:rPr>
      <w:rFonts w:ascii="Times New Roman" w:eastAsia="Times New Roman" w:hAnsi="Times New Roman" w:cs="Times New Roman"/>
      <w:b/>
      <w:bCs/>
      <w:sz w:val="20"/>
      <w:szCs w:val="20"/>
    </w:rPr>
  </w:style>
  <w:style w:type="table" w:styleId="TableGrid">
    <w:name w:val="Table Grid"/>
    <w:basedOn w:val="TableNormal"/>
    <w:uiPriority w:val="39"/>
    <w:rsid w:val="00AB3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670A1"/>
    <w:pPr>
      <w:spacing w:after="0" w:line="240" w:lineRule="auto"/>
    </w:pPr>
    <w:rPr>
      <w:rFonts w:ascii="Times New Roman" w:eastAsia="Times New Roman" w:hAnsi="Times New Roman" w:cs="Times New Roman"/>
      <w:sz w:val="20"/>
      <w:szCs w:val="20"/>
    </w:rPr>
  </w:style>
  <w:style w:type="paragraph" w:customStyle="1" w:styleId="BodyText1">
    <w:name w:val="Body Text 1"/>
    <w:aliases w:val="B1,WB Body Text 1"/>
    <w:basedOn w:val="Normal"/>
    <w:link w:val="WBBodyText1Char"/>
    <w:rsid w:val="005B1D39"/>
    <w:pPr>
      <w:widowControl/>
      <w:spacing w:line="480" w:lineRule="auto"/>
      <w:ind w:firstLine="720"/>
    </w:pPr>
    <w:rPr>
      <w:sz w:val="24"/>
      <w:szCs w:val="24"/>
    </w:rPr>
  </w:style>
  <w:style w:type="character" w:customStyle="1" w:styleId="WBBodyText1Char">
    <w:name w:val="WB Body Text 1 Char"/>
    <w:aliases w:val="B1 Char,Body Text 1 Char"/>
    <w:link w:val="BodyText1"/>
    <w:rsid w:val="005B1D39"/>
    <w:rPr>
      <w:rFonts w:ascii="Times New Roman" w:eastAsia="Times New Roman" w:hAnsi="Times New Roman" w:cs="Times New Roman"/>
      <w:sz w:val="24"/>
      <w:szCs w:val="24"/>
    </w:rPr>
  </w:style>
  <w:style w:type="table" w:styleId="PlainTable1">
    <w:name w:val="Plain Table 1"/>
    <w:basedOn w:val="TableNormal"/>
    <w:uiPriority w:val="41"/>
    <w:rsid w:val="00555E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5F3BE2"/>
    <w:pPr>
      <w:keepNext/>
      <w:spacing w:before="240" w:line="259" w:lineRule="auto"/>
      <w:jc w:val="left"/>
      <w:outlineLvl w:val="9"/>
    </w:pPr>
    <w:rPr>
      <w:rFonts w:asciiTheme="majorHAnsi" w:eastAsiaTheme="majorEastAsia" w:hAnsiTheme="majorHAnsi" w:cstheme="majorBidi"/>
      <w:b w:val="0"/>
      <w:bCs w:val="0"/>
      <w:caps/>
      <w:color w:val="365F91" w:themeColor="accent1" w:themeShade="BF"/>
      <w:sz w:val="32"/>
    </w:rPr>
  </w:style>
  <w:style w:type="paragraph" w:styleId="TOC1">
    <w:name w:val="toc 1"/>
    <w:basedOn w:val="Normal"/>
    <w:next w:val="Normal"/>
    <w:autoRedefine/>
    <w:uiPriority w:val="39"/>
    <w:unhideWhenUsed/>
    <w:rsid w:val="00307A4F"/>
    <w:pPr>
      <w:tabs>
        <w:tab w:val="left" w:pos="720"/>
        <w:tab w:val="right" w:leader="dot" w:pos="9350"/>
      </w:tabs>
      <w:spacing w:after="100"/>
    </w:pPr>
  </w:style>
  <w:style w:type="paragraph" w:styleId="TOC2">
    <w:name w:val="toc 2"/>
    <w:basedOn w:val="Normal"/>
    <w:next w:val="Normal"/>
    <w:autoRedefine/>
    <w:uiPriority w:val="39"/>
    <w:unhideWhenUsed/>
    <w:rsid w:val="00307A4F"/>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1207A2"/>
    <w:pPr>
      <w:tabs>
        <w:tab w:val="left" w:pos="2160"/>
        <w:tab w:val="right" w:leader="dot" w:pos="9360"/>
      </w:tabs>
      <w:spacing w:after="100"/>
      <w:ind w:left="2160" w:hanging="720"/>
    </w:pPr>
  </w:style>
  <w:style w:type="paragraph" w:styleId="TOC4">
    <w:name w:val="toc 4"/>
    <w:basedOn w:val="Normal"/>
    <w:next w:val="Normal"/>
    <w:autoRedefine/>
    <w:uiPriority w:val="39"/>
    <w:unhideWhenUsed/>
    <w:rsid w:val="00C47B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5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8093-0552-4753-B120-423F6110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104</Pages>
  <Words>28625</Words>
  <Characters>163167</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eberzonsky@pa.gov</dc:creator>
  <cp:keywords/>
  <cp:lastModifiedBy>Sheffer, Ryan</cp:lastModifiedBy>
  <cp:revision>8</cp:revision>
  <cp:lastPrinted>2016-12-08T16:50:00Z</cp:lastPrinted>
  <dcterms:created xsi:type="dcterms:W3CDTF">2020-12-30T18:57:00Z</dcterms:created>
  <dcterms:modified xsi:type="dcterms:W3CDTF">2021-01-14T17:11:00Z</dcterms:modified>
</cp:coreProperties>
</file>