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000" w:firstRow="0" w:lastRow="0" w:firstColumn="0" w:lastColumn="0" w:noHBand="0" w:noVBand="0"/>
      </w:tblPr>
      <w:tblGrid>
        <w:gridCol w:w="2448"/>
        <w:gridCol w:w="5130"/>
        <w:gridCol w:w="2700"/>
      </w:tblGrid>
      <w:tr w:rsidR="00D850D4" w:rsidRPr="00C0451E" w14:paraId="39B22F45" w14:textId="77777777">
        <w:tc>
          <w:tcPr>
            <w:tcW w:w="2448" w:type="dxa"/>
          </w:tcPr>
          <w:p w14:paraId="56B0E747" w14:textId="77777777" w:rsidR="00D850D4" w:rsidRPr="00C0451E" w:rsidRDefault="00D850D4" w:rsidP="00092C0A">
            <w:pPr>
              <w:pStyle w:val="Heading3"/>
              <w:rPr>
                <w:rFonts w:ascii="Times New Roman" w:hAnsi="Times New Roman" w:cs="Times New Roman"/>
              </w:rPr>
            </w:pPr>
          </w:p>
        </w:tc>
        <w:tc>
          <w:tcPr>
            <w:tcW w:w="5130" w:type="dxa"/>
          </w:tcPr>
          <w:p w14:paraId="5BA578F7" w14:textId="77777777" w:rsidR="00D850D4" w:rsidRPr="00C0451E" w:rsidRDefault="00D850D4">
            <w:pPr>
              <w:jc w:val="center"/>
              <w:rPr>
                <w:b/>
                <w:sz w:val="26"/>
                <w:szCs w:val="26"/>
              </w:rPr>
            </w:pPr>
            <w:r w:rsidRPr="00C0451E">
              <w:rPr>
                <w:b/>
                <w:sz w:val="26"/>
                <w:szCs w:val="26"/>
              </w:rPr>
              <w:t>PENNSYLVANIA</w:t>
            </w:r>
          </w:p>
          <w:p w14:paraId="761E8454" w14:textId="77777777" w:rsidR="00D850D4" w:rsidRPr="00C0451E" w:rsidRDefault="00D850D4">
            <w:pPr>
              <w:jc w:val="center"/>
              <w:rPr>
                <w:b/>
                <w:sz w:val="26"/>
                <w:szCs w:val="26"/>
              </w:rPr>
            </w:pPr>
            <w:r w:rsidRPr="00C0451E">
              <w:rPr>
                <w:b/>
                <w:sz w:val="26"/>
                <w:szCs w:val="26"/>
              </w:rPr>
              <w:t>PUBLIC UTILITY COMMISSION</w:t>
            </w:r>
          </w:p>
          <w:p w14:paraId="0BC77A3D" w14:textId="77777777" w:rsidR="00D850D4" w:rsidRPr="00C0451E" w:rsidRDefault="00D850D4" w:rsidP="00092C0A">
            <w:pPr>
              <w:pStyle w:val="StyleCentered"/>
              <w:rPr>
                <w:b/>
                <w:sz w:val="26"/>
                <w:szCs w:val="26"/>
              </w:rPr>
            </w:pPr>
            <w:r w:rsidRPr="00C0451E">
              <w:rPr>
                <w:b/>
                <w:sz w:val="26"/>
                <w:szCs w:val="26"/>
              </w:rPr>
              <w:t>Harrisburg</w:t>
            </w:r>
            <w:r w:rsidR="006048E2" w:rsidRPr="00C0451E">
              <w:rPr>
                <w:b/>
                <w:sz w:val="26"/>
                <w:szCs w:val="26"/>
              </w:rPr>
              <w:t>, PA</w:t>
            </w:r>
            <w:r w:rsidRPr="00C0451E">
              <w:rPr>
                <w:b/>
                <w:sz w:val="26"/>
                <w:szCs w:val="26"/>
              </w:rPr>
              <w:t xml:space="preserve">  17105-3265</w:t>
            </w:r>
          </w:p>
        </w:tc>
        <w:tc>
          <w:tcPr>
            <w:tcW w:w="2700" w:type="dxa"/>
          </w:tcPr>
          <w:p w14:paraId="7EA9230A" w14:textId="77777777" w:rsidR="00D850D4" w:rsidRPr="00C0451E" w:rsidRDefault="00D850D4">
            <w:pPr>
              <w:rPr>
                <w:sz w:val="26"/>
                <w:szCs w:val="26"/>
              </w:rPr>
            </w:pPr>
          </w:p>
        </w:tc>
      </w:tr>
    </w:tbl>
    <w:p w14:paraId="03CC2EA1" w14:textId="77777777" w:rsidR="00D850D4" w:rsidRPr="00C0451E" w:rsidRDefault="00D850D4">
      <w:pPr>
        <w:rPr>
          <w:sz w:val="26"/>
          <w:szCs w:val="26"/>
        </w:rPr>
      </w:pPr>
    </w:p>
    <w:tbl>
      <w:tblPr>
        <w:tblW w:w="0" w:type="auto"/>
        <w:tblLayout w:type="fixed"/>
        <w:tblLook w:val="0000" w:firstRow="0" w:lastRow="0" w:firstColumn="0" w:lastColumn="0" w:noHBand="0" w:noVBand="0"/>
      </w:tblPr>
      <w:tblGrid>
        <w:gridCol w:w="5148"/>
        <w:gridCol w:w="5148"/>
      </w:tblGrid>
      <w:tr w:rsidR="00D850D4" w:rsidRPr="00C0451E" w14:paraId="2DC6D58C" w14:textId="77777777">
        <w:tc>
          <w:tcPr>
            <w:tcW w:w="5148" w:type="dxa"/>
          </w:tcPr>
          <w:p w14:paraId="4B2591AE" w14:textId="77777777" w:rsidR="00D850D4" w:rsidRPr="00C0451E" w:rsidRDefault="00D850D4">
            <w:pPr>
              <w:rPr>
                <w:sz w:val="26"/>
                <w:szCs w:val="26"/>
              </w:rPr>
            </w:pPr>
          </w:p>
        </w:tc>
        <w:tc>
          <w:tcPr>
            <w:tcW w:w="5148" w:type="dxa"/>
          </w:tcPr>
          <w:p w14:paraId="7B52AD14" w14:textId="77777777" w:rsidR="00D850D4" w:rsidRPr="00C0451E" w:rsidRDefault="00D850D4">
            <w:pPr>
              <w:ind w:firstLine="612"/>
              <w:rPr>
                <w:sz w:val="26"/>
                <w:szCs w:val="26"/>
              </w:rPr>
            </w:pPr>
            <w:r w:rsidRPr="00C0451E">
              <w:rPr>
                <w:sz w:val="26"/>
                <w:szCs w:val="26"/>
              </w:rPr>
              <w:t xml:space="preserve">Public Meeting held </w:t>
            </w:r>
            <w:r w:rsidR="00244D64">
              <w:rPr>
                <w:sz w:val="26"/>
                <w:szCs w:val="26"/>
              </w:rPr>
              <w:t xml:space="preserve">December </w:t>
            </w:r>
            <w:r w:rsidR="006F2DDC">
              <w:rPr>
                <w:sz w:val="26"/>
                <w:szCs w:val="26"/>
              </w:rPr>
              <w:t>2</w:t>
            </w:r>
            <w:r w:rsidR="00244D64">
              <w:rPr>
                <w:sz w:val="26"/>
                <w:szCs w:val="26"/>
              </w:rPr>
              <w:t>, 202</w:t>
            </w:r>
            <w:r w:rsidR="006F2DDC">
              <w:rPr>
                <w:sz w:val="26"/>
                <w:szCs w:val="26"/>
              </w:rPr>
              <w:t>1</w:t>
            </w:r>
          </w:p>
        </w:tc>
      </w:tr>
      <w:tr w:rsidR="00D850D4" w:rsidRPr="00C0451E" w14:paraId="1E74FE0A" w14:textId="77777777">
        <w:tc>
          <w:tcPr>
            <w:tcW w:w="5148" w:type="dxa"/>
          </w:tcPr>
          <w:p w14:paraId="3FFB2A4F" w14:textId="77777777" w:rsidR="00D850D4" w:rsidRPr="00C0451E" w:rsidRDefault="00D850D4">
            <w:pPr>
              <w:rPr>
                <w:sz w:val="26"/>
                <w:szCs w:val="26"/>
              </w:rPr>
            </w:pPr>
            <w:r w:rsidRPr="00C0451E">
              <w:rPr>
                <w:sz w:val="26"/>
                <w:szCs w:val="26"/>
              </w:rPr>
              <w:t>Commissioners Present:</w:t>
            </w:r>
          </w:p>
        </w:tc>
        <w:tc>
          <w:tcPr>
            <w:tcW w:w="5148" w:type="dxa"/>
          </w:tcPr>
          <w:p w14:paraId="2192F95C" w14:textId="77777777" w:rsidR="00D850D4" w:rsidRPr="00C0451E" w:rsidRDefault="00D850D4">
            <w:pPr>
              <w:rPr>
                <w:sz w:val="26"/>
                <w:szCs w:val="26"/>
              </w:rPr>
            </w:pPr>
          </w:p>
        </w:tc>
      </w:tr>
    </w:tbl>
    <w:p w14:paraId="09428148" w14:textId="77777777" w:rsidR="00D850D4" w:rsidRPr="00C0451E" w:rsidRDefault="00D850D4">
      <w:pPr>
        <w:rPr>
          <w:sz w:val="26"/>
          <w:szCs w:val="26"/>
        </w:rPr>
      </w:pPr>
    </w:p>
    <w:tbl>
      <w:tblPr>
        <w:tblW w:w="10296" w:type="dxa"/>
        <w:tblLayout w:type="fixed"/>
        <w:tblLook w:val="0000" w:firstRow="0" w:lastRow="0" w:firstColumn="0" w:lastColumn="0" w:noHBand="0" w:noVBand="0"/>
      </w:tblPr>
      <w:tblGrid>
        <w:gridCol w:w="5958"/>
        <w:gridCol w:w="4320"/>
        <w:gridCol w:w="18"/>
      </w:tblGrid>
      <w:tr w:rsidR="00E72D6C" w:rsidRPr="00C0451E" w14:paraId="0A4E65F2" w14:textId="77777777" w:rsidTr="00075AC0">
        <w:tc>
          <w:tcPr>
            <w:tcW w:w="10296" w:type="dxa"/>
            <w:gridSpan w:val="3"/>
          </w:tcPr>
          <w:p w14:paraId="57664ABF" w14:textId="77777777" w:rsidR="00E72D6C" w:rsidRPr="00C0451E" w:rsidRDefault="00E72D6C" w:rsidP="00E72D6C">
            <w:pPr>
              <w:tabs>
                <w:tab w:val="left" w:pos="720"/>
              </w:tabs>
              <w:rPr>
                <w:sz w:val="26"/>
                <w:szCs w:val="26"/>
              </w:rPr>
            </w:pPr>
            <w:r>
              <w:rPr>
                <w:sz w:val="26"/>
                <w:szCs w:val="26"/>
              </w:rPr>
              <w:tab/>
              <w:t>Gladys Brown</w:t>
            </w:r>
            <w:r w:rsidR="007D2A0F">
              <w:rPr>
                <w:sz w:val="26"/>
                <w:szCs w:val="26"/>
              </w:rPr>
              <w:t xml:space="preserve"> </w:t>
            </w:r>
            <w:proofErr w:type="spellStart"/>
            <w:r w:rsidR="007D2A0F" w:rsidRPr="007D2A0F">
              <w:rPr>
                <w:sz w:val="26"/>
                <w:szCs w:val="26"/>
              </w:rPr>
              <w:t>Dutrieuille</w:t>
            </w:r>
            <w:proofErr w:type="spellEnd"/>
            <w:r>
              <w:rPr>
                <w:sz w:val="26"/>
                <w:szCs w:val="26"/>
              </w:rPr>
              <w:t>, Chairman</w:t>
            </w:r>
          </w:p>
        </w:tc>
      </w:tr>
      <w:tr w:rsidR="00E72D6C" w:rsidRPr="00C0451E" w14:paraId="124F25C8" w14:textId="77777777" w:rsidTr="00075AC0">
        <w:tc>
          <w:tcPr>
            <w:tcW w:w="10296" w:type="dxa"/>
            <w:gridSpan w:val="3"/>
          </w:tcPr>
          <w:p w14:paraId="7CA99F3F" w14:textId="77777777" w:rsidR="00E72D6C" w:rsidRPr="00C0451E" w:rsidRDefault="00E72D6C" w:rsidP="00E72D6C">
            <w:pPr>
              <w:tabs>
                <w:tab w:val="left" w:pos="720"/>
              </w:tabs>
              <w:rPr>
                <w:sz w:val="26"/>
                <w:szCs w:val="26"/>
              </w:rPr>
            </w:pPr>
            <w:r>
              <w:rPr>
                <w:sz w:val="26"/>
                <w:szCs w:val="26"/>
              </w:rPr>
              <w:tab/>
            </w:r>
            <w:r w:rsidR="006F2DDC">
              <w:rPr>
                <w:sz w:val="26"/>
                <w:szCs w:val="26"/>
              </w:rPr>
              <w:t>John F, Coleman, Jr.</w:t>
            </w:r>
            <w:r>
              <w:rPr>
                <w:sz w:val="26"/>
                <w:szCs w:val="26"/>
              </w:rPr>
              <w:t xml:space="preserve"> </w:t>
            </w:r>
            <w:r w:rsidRPr="00C0451E">
              <w:rPr>
                <w:sz w:val="26"/>
                <w:szCs w:val="26"/>
              </w:rPr>
              <w:t>Vice Chairman</w:t>
            </w:r>
          </w:p>
        </w:tc>
      </w:tr>
      <w:tr w:rsidR="00E72D6C" w:rsidRPr="00C0451E" w14:paraId="39196CD1" w14:textId="77777777" w:rsidTr="00075AC0">
        <w:trPr>
          <w:gridAfter w:val="1"/>
          <w:wAfter w:w="18" w:type="dxa"/>
        </w:trPr>
        <w:tc>
          <w:tcPr>
            <w:tcW w:w="10278" w:type="dxa"/>
            <w:gridSpan w:val="2"/>
          </w:tcPr>
          <w:p w14:paraId="016920BC" w14:textId="77777777" w:rsidR="00E72D6C" w:rsidRPr="00C0451E" w:rsidRDefault="00E72D6C" w:rsidP="00E72D6C">
            <w:pPr>
              <w:tabs>
                <w:tab w:val="left" w:pos="720"/>
              </w:tabs>
              <w:rPr>
                <w:sz w:val="26"/>
                <w:szCs w:val="26"/>
              </w:rPr>
            </w:pPr>
            <w:r>
              <w:rPr>
                <w:sz w:val="26"/>
                <w:szCs w:val="26"/>
              </w:rPr>
              <w:tab/>
            </w:r>
            <w:r w:rsidR="006F2DDC">
              <w:rPr>
                <w:sz w:val="26"/>
                <w:szCs w:val="26"/>
              </w:rPr>
              <w:t xml:space="preserve">Ralph V. </w:t>
            </w:r>
            <w:proofErr w:type="spellStart"/>
            <w:r w:rsidR="006F2DDC">
              <w:rPr>
                <w:sz w:val="26"/>
                <w:szCs w:val="26"/>
              </w:rPr>
              <w:t>Yanora</w:t>
            </w:r>
            <w:proofErr w:type="spellEnd"/>
          </w:p>
        </w:tc>
      </w:tr>
      <w:tr w:rsidR="00E72D6C" w:rsidRPr="00C0451E" w14:paraId="35527276" w14:textId="77777777" w:rsidTr="00075AC0">
        <w:trPr>
          <w:gridAfter w:val="1"/>
          <w:wAfter w:w="18" w:type="dxa"/>
        </w:trPr>
        <w:tc>
          <w:tcPr>
            <w:tcW w:w="10278" w:type="dxa"/>
            <w:gridSpan w:val="2"/>
          </w:tcPr>
          <w:p w14:paraId="1F706153" w14:textId="77777777" w:rsidR="00E72D6C" w:rsidRPr="00C0451E" w:rsidRDefault="00E72D6C" w:rsidP="00E72D6C">
            <w:pPr>
              <w:tabs>
                <w:tab w:val="left" w:pos="720"/>
              </w:tabs>
              <w:rPr>
                <w:sz w:val="26"/>
                <w:szCs w:val="26"/>
              </w:rPr>
            </w:pPr>
          </w:p>
        </w:tc>
      </w:tr>
      <w:tr w:rsidR="00350758" w:rsidRPr="00C0451E" w14:paraId="3C53CCAD" w14:textId="77777777" w:rsidTr="00E72D6C">
        <w:trPr>
          <w:gridAfter w:val="1"/>
          <w:wAfter w:w="18" w:type="dxa"/>
        </w:trPr>
        <w:tc>
          <w:tcPr>
            <w:tcW w:w="5958" w:type="dxa"/>
          </w:tcPr>
          <w:p w14:paraId="739E32F5" w14:textId="77777777" w:rsidR="00350758" w:rsidRDefault="00350758" w:rsidP="00350758">
            <w:pPr>
              <w:ind w:right="342"/>
              <w:rPr>
                <w:sz w:val="26"/>
                <w:szCs w:val="26"/>
              </w:rPr>
            </w:pPr>
          </w:p>
        </w:tc>
        <w:tc>
          <w:tcPr>
            <w:tcW w:w="4320" w:type="dxa"/>
          </w:tcPr>
          <w:p w14:paraId="1715D9DE" w14:textId="77777777" w:rsidR="00350758" w:rsidRDefault="00350758" w:rsidP="00350758">
            <w:pPr>
              <w:jc w:val="center"/>
              <w:rPr>
                <w:sz w:val="26"/>
                <w:szCs w:val="26"/>
              </w:rPr>
            </w:pPr>
          </w:p>
        </w:tc>
      </w:tr>
      <w:tr w:rsidR="00350758" w:rsidRPr="00C0451E" w14:paraId="79A75C15" w14:textId="77777777" w:rsidTr="00E72D6C">
        <w:trPr>
          <w:gridAfter w:val="1"/>
          <w:wAfter w:w="18" w:type="dxa"/>
        </w:trPr>
        <w:tc>
          <w:tcPr>
            <w:tcW w:w="5958" w:type="dxa"/>
          </w:tcPr>
          <w:p w14:paraId="75DFD712" w14:textId="77777777" w:rsidR="00350758" w:rsidRDefault="007A62AD" w:rsidP="007A62AD">
            <w:pPr>
              <w:ind w:right="342"/>
              <w:rPr>
                <w:sz w:val="26"/>
                <w:szCs w:val="26"/>
              </w:rPr>
            </w:pPr>
            <w:r w:rsidRPr="007A62AD">
              <w:rPr>
                <w:sz w:val="26"/>
                <w:szCs w:val="26"/>
              </w:rPr>
              <w:t>Pennsylvania Universal Service Fund Annual Rate Adjustment</w:t>
            </w:r>
          </w:p>
        </w:tc>
        <w:tc>
          <w:tcPr>
            <w:tcW w:w="4320" w:type="dxa"/>
          </w:tcPr>
          <w:p w14:paraId="274ABFA8" w14:textId="3BD230A8" w:rsidR="00350758" w:rsidRPr="00F73E88" w:rsidRDefault="00B564B7" w:rsidP="00AD1BAF">
            <w:pPr>
              <w:ind w:right="270"/>
              <w:jc w:val="right"/>
              <w:rPr>
                <w:sz w:val="26"/>
                <w:szCs w:val="26"/>
              </w:rPr>
            </w:pPr>
            <w:r w:rsidRPr="00F73E88">
              <w:rPr>
                <w:sz w:val="26"/>
                <w:szCs w:val="26"/>
              </w:rPr>
              <w:t>M-</w:t>
            </w:r>
            <w:r w:rsidR="007A62AD" w:rsidRPr="00F73E88">
              <w:rPr>
                <w:sz w:val="26"/>
                <w:szCs w:val="26"/>
              </w:rPr>
              <w:t>00001337</w:t>
            </w:r>
          </w:p>
        </w:tc>
      </w:tr>
    </w:tbl>
    <w:p w14:paraId="2484797B" w14:textId="77777777" w:rsidR="00D850D4" w:rsidRDefault="00D850D4">
      <w:pPr>
        <w:jc w:val="center"/>
        <w:rPr>
          <w:b/>
          <w:sz w:val="26"/>
          <w:szCs w:val="26"/>
        </w:rPr>
      </w:pPr>
    </w:p>
    <w:p w14:paraId="0935343C" w14:textId="77777777" w:rsidR="00244D64" w:rsidRDefault="00244D64">
      <w:pPr>
        <w:jc w:val="center"/>
        <w:rPr>
          <w:b/>
          <w:sz w:val="26"/>
          <w:szCs w:val="26"/>
        </w:rPr>
      </w:pPr>
    </w:p>
    <w:p w14:paraId="59219F63" w14:textId="77777777" w:rsidR="0037498A" w:rsidRPr="00C0451E" w:rsidRDefault="0037498A">
      <w:pPr>
        <w:jc w:val="center"/>
        <w:rPr>
          <w:b/>
          <w:sz w:val="26"/>
          <w:szCs w:val="26"/>
        </w:rPr>
      </w:pPr>
      <w:r>
        <w:rPr>
          <w:b/>
          <w:sz w:val="26"/>
          <w:szCs w:val="26"/>
        </w:rPr>
        <w:t>ORDER</w:t>
      </w:r>
    </w:p>
    <w:p w14:paraId="79EC7EA4" w14:textId="77777777" w:rsidR="00E96680" w:rsidRPr="00C0451E" w:rsidRDefault="00E96680">
      <w:pPr>
        <w:spacing w:line="360" w:lineRule="auto"/>
        <w:rPr>
          <w:sz w:val="26"/>
          <w:szCs w:val="26"/>
        </w:rPr>
      </w:pPr>
    </w:p>
    <w:p w14:paraId="00C34614" w14:textId="77777777" w:rsidR="00C00315" w:rsidRPr="00C00315" w:rsidRDefault="00DF0470" w:rsidP="00C00315">
      <w:pPr>
        <w:pStyle w:val="p3"/>
        <w:spacing w:line="360" w:lineRule="auto"/>
        <w:rPr>
          <w:b/>
          <w:sz w:val="26"/>
          <w:szCs w:val="26"/>
        </w:rPr>
      </w:pPr>
      <w:r w:rsidRPr="00C0451E">
        <w:rPr>
          <w:b/>
          <w:sz w:val="26"/>
          <w:szCs w:val="26"/>
        </w:rPr>
        <w:t>BY THE COMMISSION:</w:t>
      </w:r>
    </w:p>
    <w:p w14:paraId="5E642157" w14:textId="1D74FAC7" w:rsidR="00C00315" w:rsidRPr="00A92953" w:rsidRDefault="00C00315" w:rsidP="00C00315">
      <w:pPr>
        <w:spacing w:line="360" w:lineRule="auto"/>
        <w:ind w:firstLine="720"/>
        <w:rPr>
          <w:sz w:val="26"/>
        </w:rPr>
      </w:pPr>
      <w:r w:rsidRPr="00A92953">
        <w:rPr>
          <w:sz w:val="26"/>
          <w:szCs w:val="26"/>
        </w:rPr>
        <w:t xml:space="preserve">On </w:t>
      </w:r>
      <w:r w:rsidR="00AD1B72">
        <w:rPr>
          <w:kern w:val="1"/>
          <w:sz w:val="26"/>
          <w:szCs w:val="26"/>
        </w:rPr>
        <w:t xml:space="preserve">September </w:t>
      </w:r>
      <w:r w:rsidR="009C12C3">
        <w:rPr>
          <w:kern w:val="1"/>
          <w:sz w:val="26"/>
          <w:szCs w:val="26"/>
        </w:rPr>
        <w:t>2</w:t>
      </w:r>
      <w:r w:rsidR="00AD1B72">
        <w:rPr>
          <w:kern w:val="1"/>
          <w:sz w:val="26"/>
          <w:szCs w:val="26"/>
        </w:rPr>
        <w:t>7</w:t>
      </w:r>
      <w:r>
        <w:rPr>
          <w:sz w:val="26"/>
        </w:rPr>
        <w:t>, 202</w:t>
      </w:r>
      <w:r w:rsidR="00F57A5D">
        <w:rPr>
          <w:sz w:val="26"/>
        </w:rPr>
        <w:t>1</w:t>
      </w:r>
      <w:r w:rsidR="002027FC">
        <w:rPr>
          <w:sz w:val="26"/>
        </w:rPr>
        <w:t>,</w:t>
      </w:r>
      <w:r w:rsidR="00FE195B">
        <w:rPr>
          <w:rStyle w:val="FootnoteReference"/>
          <w:sz w:val="26"/>
        </w:rPr>
        <w:footnoteReference w:id="1"/>
      </w:r>
      <w:r w:rsidRPr="00A92953">
        <w:rPr>
          <w:sz w:val="26"/>
        </w:rPr>
        <w:t xml:space="preserve"> </w:t>
      </w:r>
      <w:r w:rsidR="006C4CDD">
        <w:rPr>
          <w:sz w:val="26"/>
        </w:rPr>
        <w:t>Vantage Point Solutions</w:t>
      </w:r>
      <w:r w:rsidR="00A10923">
        <w:rPr>
          <w:sz w:val="26"/>
        </w:rPr>
        <w:t xml:space="preserve"> </w:t>
      </w:r>
      <w:r w:rsidR="006C4CDD">
        <w:rPr>
          <w:sz w:val="26"/>
        </w:rPr>
        <w:t>(VPS)</w:t>
      </w:r>
      <w:r w:rsidR="00A10923">
        <w:rPr>
          <w:sz w:val="26"/>
        </w:rPr>
        <w:t xml:space="preserve"> (f/k/a/ GVNW Consulting, Inc)</w:t>
      </w:r>
      <w:r>
        <w:rPr>
          <w:sz w:val="26"/>
        </w:rPr>
        <w:t>,</w:t>
      </w:r>
      <w:r>
        <w:rPr>
          <w:rStyle w:val="FootnoteReference"/>
          <w:sz w:val="26"/>
        </w:rPr>
        <w:footnoteReference w:id="2"/>
      </w:r>
      <w:r>
        <w:rPr>
          <w:sz w:val="26"/>
        </w:rPr>
        <w:t xml:space="preserve"> the </w:t>
      </w:r>
      <w:r w:rsidRPr="00A92953">
        <w:rPr>
          <w:sz w:val="26"/>
        </w:rPr>
        <w:t>Administrator for the Pennsylvania Universal Service Fund (</w:t>
      </w:r>
      <w:proofErr w:type="spellStart"/>
      <w:r w:rsidRPr="00A92953">
        <w:rPr>
          <w:sz w:val="26"/>
        </w:rPr>
        <w:t>PaUSF</w:t>
      </w:r>
      <w:proofErr w:type="spellEnd"/>
      <w:r w:rsidRPr="00A92953">
        <w:rPr>
          <w:sz w:val="26"/>
        </w:rPr>
        <w:t xml:space="preserve"> or Fund), filed its </w:t>
      </w:r>
      <w:r>
        <w:rPr>
          <w:sz w:val="26"/>
        </w:rPr>
        <w:t>a</w:t>
      </w:r>
      <w:r w:rsidRPr="00A92953">
        <w:rPr>
          <w:sz w:val="26"/>
        </w:rPr>
        <w:t xml:space="preserve">nnual Administrator’s Report (Report) </w:t>
      </w:r>
      <w:r>
        <w:rPr>
          <w:sz w:val="26"/>
        </w:rPr>
        <w:t>with</w:t>
      </w:r>
      <w:r w:rsidRPr="00A92953">
        <w:rPr>
          <w:sz w:val="26"/>
        </w:rPr>
        <w:t xml:space="preserve"> the Commission</w:t>
      </w:r>
      <w:r>
        <w:rPr>
          <w:sz w:val="26"/>
        </w:rPr>
        <w:t xml:space="preserve"> as required under 52 Pa. Code § 63.163(e), providing a Fund income statement, recommendations for Fund operations, and a proposed budget and assessment rates for the upcoming </w:t>
      </w:r>
      <w:r w:rsidR="00A10923">
        <w:rPr>
          <w:sz w:val="26"/>
        </w:rPr>
        <w:t xml:space="preserve">2022 calendar </w:t>
      </w:r>
      <w:r>
        <w:rPr>
          <w:sz w:val="26"/>
        </w:rPr>
        <w:t>year</w:t>
      </w:r>
      <w:r w:rsidRPr="00A92953">
        <w:rPr>
          <w:sz w:val="26"/>
        </w:rPr>
        <w:t xml:space="preserve">.  </w:t>
      </w:r>
      <w:r w:rsidR="008A2312">
        <w:rPr>
          <w:sz w:val="26"/>
        </w:rPr>
        <w:t>VPS</w:t>
      </w:r>
      <w:r w:rsidRPr="00A92953">
        <w:rPr>
          <w:sz w:val="26"/>
        </w:rPr>
        <w:t xml:space="preserve"> served copies of the Report on the telecommunications carriers participating in the </w:t>
      </w:r>
      <w:proofErr w:type="spellStart"/>
      <w:r w:rsidRPr="00A92953">
        <w:rPr>
          <w:sz w:val="26"/>
        </w:rPr>
        <w:t>PaUSF</w:t>
      </w:r>
      <w:proofErr w:type="spellEnd"/>
      <w:r w:rsidRPr="00A92953">
        <w:rPr>
          <w:sz w:val="26"/>
        </w:rPr>
        <w:t>, the Office of Consumer Advocate and the Office of Small Business Advocate</w:t>
      </w:r>
      <w:r w:rsidR="009C12C3">
        <w:rPr>
          <w:sz w:val="26"/>
        </w:rPr>
        <w:t xml:space="preserve"> on </w:t>
      </w:r>
      <w:r w:rsidR="002027FC">
        <w:rPr>
          <w:sz w:val="26"/>
        </w:rPr>
        <w:t>October </w:t>
      </w:r>
      <w:r w:rsidR="00530157">
        <w:rPr>
          <w:sz w:val="26"/>
        </w:rPr>
        <w:t>4</w:t>
      </w:r>
      <w:r w:rsidR="005155F2">
        <w:rPr>
          <w:sz w:val="26"/>
        </w:rPr>
        <w:t>,</w:t>
      </w:r>
      <w:r w:rsidR="002027FC">
        <w:rPr>
          <w:sz w:val="26"/>
        </w:rPr>
        <w:t> </w:t>
      </w:r>
      <w:r w:rsidR="005155F2">
        <w:rPr>
          <w:sz w:val="26"/>
        </w:rPr>
        <w:t xml:space="preserve">2021, </w:t>
      </w:r>
      <w:r w:rsidR="009C12C3">
        <w:rPr>
          <w:sz w:val="26"/>
        </w:rPr>
        <w:t>pursuant to Section 63.163(f)</w:t>
      </w:r>
      <w:r w:rsidRPr="00A92953">
        <w:rPr>
          <w:sz w:val="26"/>
        </w:rPr>
        <w:t xml:space="preserve">.  </w:t>
      </w:r>
      <w:r w:rsidRPr="00447FCA">
        <w:rPr>
          <w:sz w:val="26"/>
        </w:rPr>
        <w:t>No comments were filed.</w:t>
      </w:r>
      <w:r w:rsidRPr="00A92953">
        <w:rPr>
          <w:sz w:val="26"/>
        </w:rPr>
        <w:t xml:space="preserve">  </w:t>
      </w:r>
    </w:p>
    <w:p w14:paraId="425FE9A9" w14:textId="77777777" w:rsidR="00C00315" w:rsidRPr="00A92953" w:rsidRDefault="00C00315" w:rsidP="00C00315">
      <w:pPr>
        <w:spacing w:line="360" w:lineRule="auto"/>
        <w:rPr>
          <w:sz w:val="26"/>
        </w:rPr>
      </w:pPr>
    </w:p>
    <w:p w14:paraId="7493E2A4" w14:textId="3DD4A615" w:rsidR="00C00315" w:rsidRDefault="00C00315" w:rsidP="002C53CE">
      <w:pPr>
        <w:spacing w:line="360" w:lineRule="auto"/>
        <w:ind w:firstLine="720"/>
        <w:rPr>
          <w:sz w:val="26"/>
        </w:rPr>
      </w:pPr>
      <w:r>
        <w:rPr>
          <w:sz w:val="26"/>
        </w:rPr>
        <w:lastRenderedPageBreak/>
        <w:t xml:space="preserve">Pursuant to 52 Pa. Code § 63.164 (relating to the Commission’s oversight of the Fund), we are issuing this order within ninety days of receipt of the Report.  This order establishes the size of the Fund, approves a budget for the </w:t>
      </w:r>
      <w:r w:rsidR="00A10923">
        <w:rPr>
          <w:sz w:val="26"/>
        </w:rPr>
        <w:t xml:space="preserve">2022 </w:t>
      </w:r>
      <w:r>
        <w:rPr>
          <w:sz w:val="26"/>
        </w:rPr>
        <w:t xml:space="preserve">calendar year, establishes the assessment rate for contributing telecommunications providers, adopts certain recommendations for Fund operations, and establishes administrative guidelines for the upcoming year.  Based upon the Report from </w:t>
      </w:r>
      <w:r w:rsidR="008A2312">
        <w:rPr>
          <w:sz w:val="26"/>
        </w:rPr>
        <w:t>VPS</w:t>
      </w:r>
      <w:r>
        <w:rPr>
          <w:sz w:val="26"/>
        </w:rPr>
        <w:t xml:space="preserve">, we have made the following determinations regarding the </w:t>
      </w:r>
      <w:proofErr w:type="spellStart"/>
      <w:r>
        <w:rPr>
          <w:sz w:val="26"/>
        </w:rPr>
        <w:t>PaUSF</w:t>
      </w:r>
      <w:proofErr w:type="spellEnd"/>
      <w:r>
        <w:rPr>
          <w:sz w:val="26"/>
        </w:rPr>
        <w:t xml:space="preserve"> for calendar year 202</w:t>
      </w:r>
      <w:r w:rsidR="007245FF">
        <w:rPr>
          <w:sz w:val="26"/>
        </w:rPr>
        <w:t>2</w:t>
      </w:r>
      <w:r>
        <w:rPr>
          <w:sz w:val="26"/>
        </w:rPr>
        <w:t>.</w:t>
      </w:r>
    </w:p>
    <w:p w14:paraId="686A9D25" w14:textId="77777777" w:rsidR="00C00315" w:rsidRDefault="00C00315" w:rsidP="00C00315">
      <w:pPr>
        <w:spacing w:line="360" w:lineRule="auto"/>
        <w:ind w:firstLine="720"/>
        <w:rPr>
          <w:sz w:val="26"/>
        </w:rPr>
      </w:pPr>
    </w:p>
    <w:p w14:paraId="5D1B801D" w14:textId="77777777" w:rsidR="00C00315" w:rsidRPr="002B0BC2" w:rsidRDefault="00C00315" w:rsidP="00C00315">
      <w:pPr>
        <w:spacing w:line="360" w:lineRule="auto"/>
        <w:rPr>
          <w:b/>
          <w:sz w:val="26"/>
        </w:rPr>
      </w:pPr>
      <w:r w:rsidRPr="002B0BC2">
        <w:rPr>
          <w:b/>
          <w:sz w:val="26"/>
        </w:rPr>
        <w:t>1.</w:t>
      </w:r>
      <w:r w:rsidRPr="002B0BC2">
        <w:rPr>
          <w:b/>
          <w:sz w:val="26"/>
        </w:rPr>
        <w:tab/>
        <w:t>Maintain Five Percent (5%) Contingency</w:t>
      </w:r>
    </w:p>
    <w:p w14:paraId="030EB30D" w14:textId="2EF67DE9" w:rsidR="00C00315" w:rsidRPr="00A92953" w:rsidRDefault="00A10923" w:rsidP="00C00315">
      <w:pPr>
        <w:spacing w:line="360" w:lineRule="auto"/>
        <w:ind w:firstLine="720"/>
        <w:rPr>
          <w:sz w:val="26"/>
        </w:rPr>
      </w:pPr>
      <w:r>
        <w:rPr>
          <w:sz w:val="26"/>
        </w:rPr>
        <w:t>VPS</w:t>
      </w:r>
      <w:r w:rsidRPr="00A92953">
        <w:rPr>
          <w:sz w:val="26"/>
        </w:rPr>
        <w:t xml:space="preserve"> recommend</w:t>
      </w:r>
      <w:r>
        <w:rPr>
          <w:sz w:val="26"/>
        </w:rPr>
        <w:t>s</w:t>
      </w:r>
      <w:r w:rsidRPr="00A92953">
        <w:rPr>
          <w:sz w:val="26"/>
        </w:rPr>
        <w:t xml:space="preserve"> that </w:t>
      </w:r>
      <w:r w:rsidR="0047775D">
        <w:rPr>
          <w:sz w:val="26"/>
        </w:rPr>
        <w:t xml:space="preserve">the Commission </w:t>
      </w:r>
      <w:r w:rsidRPr="00A92953">
        <w:rPr>
          <w:sz w:val="26"/>
        </w:rPr>
        <w:t>maintain the annual funding contingency</w:t>
      </w:r>
      <w:r>
        <w:rPr>
          <w:sz w:val="26"/>
        </w:rPr>
        <w:t xml:space="preserve"> reserve</w:t>
      </w:r>
      <w:r w:rsidRPr="00A92953">
        <w:rPr>
          <w:sz w:val="26"/>
        </w:rPr>
        <w:t xml:space="preserve"> of 5%</w:t>
      </w:r>
      <w:r>
        <w:rPr>
          <w:sz w:val="26"/>
        </w:rPr>
        <w:t xml:space="preserve"> </w:t>
      </w:r>
      <w:r w:rsidR="0047775D">
        <w:rPr>
          <w:sz w:val="26"/>
        </w:rPr>
        <w:t xml:space="preserve">for the </w:t>
      </w:r>
      <w:r>
        <w:rPr>
          <w:sz w:val="26"/>
        </w:rPr>
        <w:t>2022</w:t>
      </w:r>
      <w:r w:rsidR="0047775D">
        <w:rPr>
          <w:sz w:val="26"/>
        </w:rPr>
        <w:t xml:space="preserve"> calendar year</w:t>
      </w:r>
      <w:r w:rsidRPr="00A92953">
        <w:rPr>
          <w:sz w:val="26"/>
        </w:rPr>
        <w:t>.</w:t>
      </w:r>
      <w:r>
        <w:rPr>
          <w:sz w:val="26"/>
        </w:rPr>
        <w:t xml:space="preserve">  The Commission acknowledges that f</w:t>
      </w:r>
      <w:r w:rsidR="00C00315" w:rsidRPr="00A92953">
        <w:rPr>
          <w:sz w:val="26"/>
        </w:rPr>
        <w:t xml:space="preserve">or the </w:t>
      </w:r>
      <w:r w:rsidR="00C00315">
        <w:rPr>
          <w:sz w:val="26"/>
        </w:rPr>
        <w:t xml:space="preserve">last </w:t>
      </w:r>
      <w:r w:rsidR="007245FF">
        <w:rPr>
          <w:sz w:val="26"/>
        </w:rPr>
        <w:t>six</w:t>
      </w:r>
      <w:r w:rsidR="00C00315">
        <w:rPr>
          <w:sz w:val="26"/>
        </w:rPr>
        <w:t>teen (1</w:t>
      </w:r>
      <w:r w:rsidR="007245FF">
        <w:rPr>
          <w:sz w:val="26"/>
        </w:rPr>
        <w:t>6</w:t>
      </w:r>
      <w:r w:rsidR="00C00315">
        <w:rPr>
          <w:sz w:val="26"/>
        </w:rPr>
        <w:t>) years</w:t>
      </w:r>
      <w:r w:rsidR="00C00315" w:rsidRPr="00A92953">
        <w:rPr>
          <w:sz w:val="26"/>
        </w:rPr>
        <w:t xml:space="preserve">, </w:t>
      </w:r>
      <w:r>
        <w:rPr>
          <w:sz w:val="26"/>
        </w:rPr>
        <w:t xml:space="preserve">it </w:t>
      </w:r>
      <w:r w:rsidR="00C00315">
        <w:rPr>
          <w:sz w:val="26"/>
        </w:rPr>
        <w:t>has</w:t>
      </w:r>
      <w:r w:rsidR="00C00315" w:rsidRPr="00A92953">
        <w:rPr>
          <w:sz w:val="26"/>
        </w:rPr>
        <w:t xml:space="preserve"> </w:t>
      </w:r>
      <w:r w:rsidR="00C00315">
        <w:rPr>
          <w:sz w:val="26"/>
        </w:rPr>
        <w:t>approv</w:t>
      </w:r>
      <w:r w:rsidR="00C00315" w:rsidRPr="00A92953">
        <w:rPr>
          <w:sz w:val="26"/>
        </w:rPr>
        <w:t>ed a 5% contingency</w:t>
      </w:r>
      <w:r w:rsidR="00C00315">
        <w:rPr>
          <w:sz w:val="26"/>
        </w:rPr>
        <w:t xml:space="preserve"> reserve</w:t>
      </w:r>
      <w:r>
        <w:rPr>
          <w:sz w:val="26"/>
        </w:rPr>
        <w:t xml:space="preserve"> for the </w:t>
      </w:r>
      <w:r w:rsidR="0047775D">
        <w:rPr>
          <w:sz w:val="26"/>
        </w:rPr>
        <w:t>Fund</w:t>
      </w:r>
      <w:r w:rsidR="00C00315" w:rsidRPr="00A92953">
        <w:rPr>
          <w:sz w:val="26"/>
        </w:rPr>
        <w:t xml:space="preserve">.  This </w:t>
      </w:r>
      <w:r w:rsidR="00C00315">
        <w:rPr>
          <w:sz w:val="26"/>
        </w:rPr>
        <w:t xml:space="preserve">percentage has provided a sufficient cash reserve to ensure that </w:t>
      </w:r>
      <w:proofErr w:type="spellStart"/>
      <w:r w:rsidR="00C00315">
        <w:rPr>
          <w:sz w:val="26"/>
        </w:rPr>
        <w:t>PaUSF</w:t>
      </w:r>
      <w:proofErr w:type="spellEnd"/>
      <w:r w:rsidR="00C00315">
        <w:rPr>
          <w:sz w:val="26"/>
        </w:rPr>
        <w:t xml:space="preserve"> support payments timely occur in the event of unforeseen funding shortfalls and delinquent accounts.  </w:t>
      </w:r>
      <w:r>
        <w:rPr>
          <w:sz w:val="26"/>
        </w:rPr>
        <w:t>Accordingly, w</w:t>
      </w:r>
      <w:r w:rsidR="00C00315">
        <w:rPr>
          <w:sz w:val="26"/>
        </w:rPr>
        <w:t xml:space="preserve">e agree </w:t>
      </w:r>
      <w:r w:rsidR="0047775D">
        <w:rPr>
          <w:sz w:val="26"/>
        </w:rPr>
        <w:t xml:space="preserve">with and adopt </w:t>
      </w:r>
      <w:r w:rsidR="008A2312">
        <w:rPr>
          <w:sz w:val="26"/>
        </w:rPr>
        <w:t>VPS</w:t>
      </w:r>
      <w:r w:rsidR="00C00315">
        <w:rPr>
          <w:sz w:val="26"/>
        </w:rPr>
        <w:t>’s recommendation</w:t>
      </w:r>
      <w:r w:rsidRPr="00A10923">
        <w:rPr>
          <w:sz w:val="26"/>
        </w:rPr>
        <w:t xml:space="preserve"> </w:t>
      </w:r>
      <w:r w:rsidR="0047775D">
        <w:rPr>
          <w:sz w:val="26"/>
        </w:rPr>
        <w:t xml:space="preserve">about maintaining </w:t>
      </w:r>
      <w:r w:rsidRPr="00A92953">
        <w:rPr>
          <w:sz w:val="26"/>
        </w:rPr>
        <w:t>the annual funding contingency</w:t>
      </w:r>
      <w:r>
        <w:rPr>
          <w:sz w:val="26"/>
        </w:rPr>
        <w:t xml:space="preserve"> reserve</w:t>
      </w:r>
      <w:r w:rsidRPr="00A92953">
        <w:rPr>
          <w:sz w:val="26"/>
        </w:rPr>
        <w:t xml:space="preserve"> of 5%</w:t>
      </w:r>
      <w:r>
        <w:rPr>
          <w:sz w:val="26"/>
        </w:rPr>
        <w:t xml:space="preserve"> </w:t>
      </w:r>
      <w:r w:rsidR="0047775D">
        <w:rPr>
          <w:sz w:val="26"/>
        </w:rPr>
        <w:t xml:space="preserve">for the </w:t>
      </w:r>
      <w:proofErr w:type="spellStart"/>
      <w:r w:rsidR="0047775D">
        <w:rPr>
          <w:sz w:val="26"/>
        </w:rPr>
        <w:t>PaUSF</w:t>
      </w:r>
      <w:proofErr w:type="spellEnd"/>
      <w:r w:rsidR="0047775D">
        <w:rPr>
          <w:sz w:val="26"/>
        </w:rPr>
        <w:t xml:space="preserve"> </w:t>
      </w:r>
      <w:r>
        <w:rPr>
          <w:sz w:val="26"/>
        </w:rPr>
        <w:t>in 2022</w:t>
      </w:r>
      <w:r w:rsidR="00C00315">
        <w:rPr>
          <w:sz w:val="26"/>
        </w:rPr>
        <w:t>.</w:t>
      </w:r>
    </w:p>
    <w:p w14:paraId="65F7BD62" w14:textId="77777777" w:rsidR="00C00315" w:rsidRPr="00A92953" w:rsidRDefault="00C00315" w:rsidP="00C00315">
      <w:pPr>
        <w:spacing w:line="360" w:lineRule="auto"/>
        <w:rPr>
          <w:sz w:val="26"/>
        </w:rPr>
      </w:pPr>
    </w:p>
    <w:p w14:paraId="6C293344" w14:textId="77777777" w:rsidR="00C00315" w:rsidRPr="002B0BC2" w:rsidRDefault="00C00315" w:rsidP="00C00315">
      <w:pPr>
        <w:spacing w:line="360" w:lineRule="auto"/>
        <w:rPr>
          <w:b/>
          <w:sz w:val="26"/>
        </w:rPr>
      </w:pPr>
      <w:r>
        <w:rPr>
          <w:b/>
          <w:sz w:val="26"/>
        </w:rPr>
        <w:t>2</w:t>
      </w:r>
      <w:r w:rsidRPr="002B0BC2">
        <w:rPr>
          <w:b/>
          <w:sz w:val="26"/>
        </w:rPr>
        <w:t>.</w:t>
      </w:r>
      <w:r w:rsidRPr="002B0BC2">
        <w:rPr>
          <w:b/>
          <w:sz w:val="26"/>
        </w:rPr>
        <w:tab/>
        <w:t>Carryover Balance</w:t>
      </w:r>
    </w:p>
    <w:p w14:paraId="03A0A04F" w14:textId="4B60CBA9" w:rsidR="00C00315" w:rsidRDefault="00C00315" w:rsidP="00C00315">
      <w:pPr>
        <w:spacing w:line="360" w:lineRule="auto"/>
        <w:ind w:firstLine="720"/>
        <w:rPr>
          <w:sz w:val="26"/>
        </w:rPr>
      </w:pPr>
      <w:r>
        <w:rPr>
          <w:sz w:val="26"/>
        </w:rPr>
        <w:t>T</w:t>
      </w:r>
      <w:r w:rsidRPr="00A92953">
        <w:rPr>
          <w:sz w:val="26"/>
        </w:rPr>
        <w:t>he Fund</w:t>
      </w:r>
      <w:r>
        <w:rPr>
          <w:sz w:val="26"/>
        </w:rPr>
        <w:t>’s</w:t>
      </w:r>
      <w:r w:rsidRPr="00A92953">
        <w:rPr>
          <w:sz w:val="26"/>
        </w:rPr>
        <w:t xml:space="preserve"> balance is projected to </w:t>
      </w:r>
      <w:r>
        <w:rPr>
          <w:sz w:val="26"/>
        </w:rPr>
        <w:t>increase, which</w:t>
      </w:r>
      <w:r w:rsidRPr="00A92953">
        <w:rPr>
          <w:sz w:val="26"/>
        </w:rPr>
        <w:t xml:space="preserve"> will result in an anticipated year-end </w:t>
      </w:r>
      <w:r>
        <w:rPr>
          <w:sz w:val="26"/>
        </w:rPr>
        <w:t>F</w:t>
      </w:r>
      <w:r w:rsidRPr="00A92953">
        <w:rPr>
          <w:sz w:val="26"/>
        </w:rPr>
        <w:t xml:space="preserve">und balance </w:t>
      </w:r>
      <w:r>
        <w:rPr>
          <w:sz w:val="26"/>
        </w:rPr>
        <w:t xml:space="preserve">greater than $1.5 </w:t>
      </w:r>
      <w:r w:rsidRPr="00A92953">
        <w:rPr>
          <w:sz w:val="26"/>
        </w:rPr>
        <w:t xml:space="preserve">million.  </w:t>
      </w:r>
      <w:r w:rsidR="008A2312">
        <w:rPr>
          <w:sz w:val="26"/>
        </w:rPr>
        <w:t>VPS</w:t>
      </w:r>
      <w:r w:rsidRPr="00A92953">
        <w:rPr>
          <w:sz w:val="26"/>
        </w:rPr>
        <w:t xml:space="preserve"> asserts that it would be prudent to utilize a conservative estimated </w:t>
      </w:r>
      <w:r>
        <w:rPr>
          <w:sz w:val="26"/>
        </w:rPr>
        <w:t xml:space="preserve">cash </w:t>
      </w:r>
      <w:r w:rsidRPr="00A92953">
        <w:rPr>
          <w:sz w:val="26"/>
        </w:rPr>
        <w:t>balance of $1.5 million as of December</w:t>
      </w:r>
      <w:r>
        <w:rPr>
          <w:sz w:val="26"/>
        </w:rPr>
        <w:t> </w:t>
      </w:r>
      <w:r w:rsidRPr="00A92953">
        <w:rPr>
          <w:sz w:val="26"/>
        </w:rPr>
        <w:t>31,</w:t>
      </w:r>
      <w:r>
        <w:rPr>
          <w:sz w:val="26"/>
        </w:rPr>
        <w:t> </w:t>
      </w:r>
      <w:r w:rsidRPr="00A92953">
        <w:rPr>
          <w:sz w:val="26"/>
        </w:rPr>
        <w:t>20</w:t>
      </w:r>
      <w:r>
        <w:rPr>
          <w:sz w:val="26"/>
        </w:rPr>
        <w:t>2</w:t>
      </w:r>
      <w:r w:rsidR="00AD1B72">
        <w:rPr>
          <w:sz w:val="26"/>
        </w:rPr>
        <w:t>1</w:t>
      </w:r>
      <w:r w:rsidRPr="00A92953">
        <w:rPr>
          <w:sz w:val="26"/>
        </w:rPr>
        <w:t>, for calculation purposes, providing a cushion for any unforeseen variances</w:t>
      </w:r>
      <w:r>
        <w:rPr>
          <w:sz w:val="26"/>
        </w:rPr>
        <w:t>.</w:t>
      </w:r>
      <w:r w:rsidRPr="00A92953">
        <w:rPr>
          <w:sz w:val="26"/>
        </w:rPr>
        <w:t xml:space="preserve">  We</w:t>
      </w:r>
      <w:r>
        <w:rPr>
          <w:sz w:val="26"/>
        </w:rPr>
        <w:t> </w:t>
      </w:r>
      <w:r w:rsidRPr="00A92953">
        <w:rPr>
          <w:sz w:val="26"/>
        </w:rPr>
        <w:t xml:space="preserve">agree with </w:t>
      </w:r>
      <w:r w:rsidR="008A2312">
        <w:rPr>
          <w:sz w:val="26"/>
        </w:rPr>
        <w:t>VPS</w:t>
      </w:r>
      <w:r w:rsidRPr="00A92953">
        <w:rPr>
          <w:sz w:val="26"/>
        </w:rPr>
        <w:t>’s recommendation to err on the side of caution so that the Fund is adequately funded.</w:t>
      </w:r>
      <w:r w:rsidRPr="00A92953">
        <w:rPr>
          <w:sz w:val="26"/>
          <w:vertAlign w:val="superscript"/>
        </w:rPr>
        <w:footnoteReference w:id="3"/>
      </w:r>
      <w:r>
        <w:rPr>
          <w:sz w:val="26"/>
        </w:rPr>
        <w:t xml:space="preserve">  </w:t>
      </w:r>
      <w:bookmarkStart w:id="0" w:name="_Hlk531168417"/>
      <w:r>
        <w:rPr>
          <w:sz w:val="26"/>
        </w:rPr>
        <w:t>Therefore, we</w:t>
      </w:r>
      <w:r w:rsidRPr="00A92953">
        <w:rPr>
          <w:sz w:val="26"/>
        </w:rPr>
        <w:t xml:space="preserve"> will use </w:t>
      </w:r>
      <w:r>
        <w:rPr>
          <w:sz w:val="26"/>
        </w:rPr>
        <w:t xml:space="preserve">a </w:t>
      </w:r>
      <w:r w:rsidRPr="00A92953">
        <w:rPr>
          <w:sz w:val="26"/>
        </w:rPr>
        <w:t xml:space="preserve">$1.5 million </w:t>
      </w:r>
      <w:r>
        <w:rPr>
          <w:sz w:val="26"/>
        </w:rPr>
        <w:t>cash contingency reserve balance</w:t>
      </w:r>
      <w:r w:rsidRPr="00A92953">
        <w:rPr>
          <w:sz w:val="26"/>
        </w:rPr>
        <w:t xml:space="preserve"> </w:t>
      </w:r>
      <w:r>
        <w:rPr>
          <w:sz w:val="26"/>
        </w:rPr>
        <w:t>to calculate contributions for the 202</w:t>
      </w:r>
      <w:r w:rsidR="00AD1B72">
        <w:rPr>
          <w:sz w:val="26"/>
        </w:rPr>
        <w:t>2</w:t>
      </w:r>
      <w:r>
        <w:rPr>
          <w:sz w:val="26"/>
        </w:rPr>
        <w:t xml:space="preserve"> calendar year</w:t>
      </w:r>
    </w:p>
    <w:p w14:paraId="443299B1" w14:textId="77777777" w:rsidR="00244D64" w:rsidRDefault="00244D64" w:rsidP="00C00315">
      <w:pPr>
        <w:spacing w:line="360" w:lineRule="auto"/>
        <w:ind w:firstLine="720"/>
        <w:rPr>
          <w:sz w:val="26"/>
        </w:rPr>
      </w:pPr>
    </w:p>
    <w:bookmarkEnd w:id="0"/>
    <w:p w14:paraId="643EEE78" w14:textId="77777777" w:rsidR="00C00315" w:rsidRPr="002B0BC2" w:rsidRDefault="00C00315" w:rsidP="00244D64">
      <w:pPr>
        <w:spacing w:line="360" w:lineRule="auto"/>
        <w:rPr>
          <w:b/>
          <w:sz w:val="26"/>
        </w:rPr>
      </w:pPr>
      <w:r>
        <w:rPr>
          <w:b/>
          <w:sz w:val="26"/>
        </w:rPr>
        <w:lastRenderedPageBreak/>
        <w:t>3</w:t>
      </w:r>
      <w:r w:rsidRPr="002B0BC2">
        <w:rPr>
          <w:b/>
          <w:sz w:val="26"/>
        </w:rPr>
        <w:t>.</w:t>
      </w:r>
      <w:r w:rsidRPr="002B0BC2">
        <w:rPr>
          <w:b/>
          <w:sz w:val="26"/>
        </w:rPr>
        <w:tab/>
        <w:t>Electronic Filing of Carrier Data Collection Reports of Prior Year Revenues</w:t>
      </w:r>
    </w:p>
    <w:p w14:paraId="3C6D6A3D" w14:textId="02F11041" w:rsidR="005202AF" w:rsidRDefault="0047775D" w:rsidP="00244D64">
      <w:pPr>
        <w:spacing w:line="360" w:lineRule="auto"/>
        <w:ind w:firstLine="720"/>
        <w:rPr>
          <w:sz w:val="26"/>
        </w:rPr>
      </w:pPr>
      <w:r>
        <w:rPr>
          <w:sz w:val="26"/>
        </w:rPr>
        <w:t xml:space="preserve">Pursuant to </w:t>
      </w:r>
      <w:r w:rsidRPr="0047775D">
        <w:rPr>
          <w:sz w:val="26"/>
        </w:rPr>
        <w:t>52 Pa. Code § 63.165(a)</w:t>
      </w:r>
      <w:r>
        <w:rPr>
          <w:sz w:val="26"/>
        </w:rPr>
        <w:t xml:space="preserve">, </w:t>
      </w:r>
      <w:r w:rsidR="00700A60">
        <w:rPr>
          <w:sz w:val="26"/>
        </w:rPr>
        <w:t>c</w:t>
      </w:r>
      <w:r w:rsidR="00700A60" w:rsidRPr="00700A60">
        <w:rPr>
          <w:sz w:val="26"/>
        </w:rPr>
        <w:t>ontributing telecommunications providers</w:t>
      </w:r>
      <w:r w:rsidR="00700A60">
        <w:rPr>
          <w:sz w:val="26"/>
        </w:rPr>
        <w:t xml:space="preserve"> </w:t>
      </w:r>
      <w:r w:rsidR="00C00315" w:rsidRPr="004F7BD3">
        <w:rPr>
          <w:sz w:val="26"/>
        </w:rPr>
        <w:t xml:space="preserve">are required to report </w:t>
      </w:r>
      <w:r w:rsidR="00C00315">
        <w:rPr>
          <w:sz w:val="26"/>
        </w:rPr>
        <w:t xml:space="preserve">their </w:t>
      </w:r>
      <w:r w:rsidR="00C00315" w:rsidRPr="004F7BD3">
        <w:rPr>
          <w:sz w:val="26"/>
        </w:rPr>
        <w:t>annual revenues from the prior calendar year</w:t>
      </w:r>
      <w:r w:rsidR="005202AF" w:rsidRPr="005202AF">
        <w:rPr>
          <w:sz w:val="26"/>
        </w:rPr>
        <w:t xml:space="preserve"> </w:t>
      </w:r>
      <w:r w:rsidR="005202AF">
        <w:rPr>
          <w:sz w:val="26"/>
        </w:rPr>
        <w:t>to the Fund Administrator</w:t>
      </w:r>
      <w:r w:rsidR="005202AF" w:rsidRPr="005202AF">
        <w:rPr>
          <w:sz w:val="26"/>
        </w:rPr>
        <w:t xml:space="preserve"> </w:t>
      </w:r>
      <w:r w:rsidR="005202AF">
        <w:rPr>
          <w:sz w:val="26"/>
        </w:rPr>
        <w:t>b</w:t>
      </w:r>
      <w:r w:rsidR="005202AF" w:rsidRPr="00700A60">
        <w:rPr>
          <w:sz w:val="26"/>
        </w:rPr>
        <w:t>y March 31</w:t>
      </w:r>
      <w:r w:rsidR="005202AF" w:rsidRPr="00700A60">
        <w:rPr>
          <w:sz w:val="26"/>
          <w:vertAlign w:val="superscript"/>
        </w:rPr>
        <w:t>st</w:t>
      </w:r>
      <w:r w:rsidR="005202AF" w:rsidRPr="00700A60">
        <w:rPr>
          <w:sz w:val="26"/>
        </w:rPr>
        <w:t xml:space="preserve"> of each year</w:t>
      </w:r>
      <w:r w:rsidR="005202AF">
        <w:rPr>
          <w:sz w:val="26"/>
        </w:rPr>
        <w:t>.  The aggregate reported annual revenues</w:t>
      </w:r>
      <w:r w:rsidR="00C00315" w:rsidRPr="004F7BD3">
        <w:rPr>
          <w:sz w:val="26"/>
        </w:rPr>
        <w:t xml:space="preserve"> are used </w:t>
      </w:r>
      <w:r w:rsidR="005202AF">
        <w:rPr>
          <w:sz w:val="26"/>
        </w:rPr>
        <w:t xml:space="preserve">by the Fund Administrator </w:t>
      </w:r>
      <w:r w:rsidR="00C00315" w:rsidRPr="004F7BD3">
        <w:rPr>
          <w:sz w:val="26"/>
        </w:rPr>
        <w:t xml:space="preserve">to calculate the following year’s </w:t>
      </w:r>
      <w:proofErr w:type="spellStart"/>
      <w:r w:rsidR="00C00315" w:rsidRPr="004F7BD3">
        <w:rPr>
          <w:sz w:val="26"/>
        </w:rPr>
        <w:t>PaUSF</w:t>
      </w:r>
      <w:proofErr w:type="spellEnd"/>
      <w:r w:rsidR="00C00315" w:rsidRPr="004F7BD3">
        <w:rPr>
          <w:sz w:val="26"/>
        </w:rPr>
        <w:t xml:space="preserve"> assessment</w:t>
      </w:r>
      <w:r w:rsidR="00C00315">
        <w:rPr>
          <w:sz w:val="26"/>
        </w:rPr>
        <w:t xml:space="preserve"> rate</w:t>
      </w:r>
      <w:r w:rsidR="00C00315" w:rsidRPr="004F7BD3">
        <w:rPr>
          <w:sz w:val="26"/>
        </w:rPr>
        <w:t xml:space="preserve">.  </w:t>
      </w:r>
      <w:r w:rsidR="008A2312">
        <w:rPr>
          <w:sz w:val="26"/>
        </w:rPr>
        <w:t>VPS</w:t>
      </w:r>
      <w:r w:rsidR="00C00315">
        <w:rPr>
          <w:sz w:val="26"/>
        </w:rPr>
        <w:t xml:space="preserve"> maintains a web</w:t>
      </w:r>
      <w:r w:rsidR="00C00315">
        <w:rPr>
          <w:sz w:val="26"/>
        </w:rPr>
        <w:noBreakHyphen/>
        <w:t xml:space="preserve">based portal for online reporting </w:t>
      </w:r>
      <w:r w:rsidR="005202AF">
        <w:rPr>
          <w:sz w:val="26"/>
        </w:rPr>
        <w:t xml:space="preserve">so </w:t>
      </w:r>
      <w:r w:rsidR="00C00315">
        <w:rPr>
          <w:sz w:val="26"/>
        </w:rPr>
        <w:t xml:space="preserve">that carriers </w:t>
      </w:r>
      <w:r w:rsidR="005202AF">
        <w:rPr>
          <w:sz w:val="26"/>
        </w:rPr>
        <w:t xml:space="preserve">can </w:t>
      </w:r>
      <w:r w:rsidR="002467CF">
        <w:rPr>
          <w:sz w:val="26"/>
        </w:rPr>
        <w:t>meet</w:t>
      </w:r>
      <w:r w:rsidR="00C00315">
        <w:rPr>
          <w:sz w:val="26"/>
        </w:rPr>
        <w:t xml:space="preserve"> this requirement.</w:t>
      </w:r>
      <w:r w:rsidR="005202AF">
        <w:rPr>
          <w:sz w:val="26"/>
        </w:rPr>
        <w:t xml:space="preserve">  </w:t>
      </w:r>
      <w:r w:rsidR="00700A60">
        <w:rPr>
          <w:sz w:val="26"/>
        </w:rPr>
        <w:t xml:space="preserve">The Commission </w:t>
      </w:r>
      <w:r w:rsidR="00C00315">
        <w:rPr>
          <w:sz w:val="26"/>
        </w:rPr>
        <w:t xml:space="preserve">will continue to require </w:t>
      </w:r>
      <w:r w:rsidR="00700A60">
        <w:rPr>
          <w:sz w:val="26"/>
        </w:rPr>
        <w:t xml:space="preserve">contributing </w:t>
      </w:r>
      <w:r w:rsidR="00C00315">
        <w:rPr>
          <w:sz w:val="26"/>
        </w:rPr>
        <w:t xml:space="preserve">carriers to submit their annual affidavit identifying their total </w:t>
      </w:r>
      <w:r w:rsidR="00700A60">
        <w:rPr>
          <w:sz w:val="26"/>
        </w:rPr>
        <w:t xml:space="preserve">gross </w:t>
      </w:r>
      <w:r w:rsidR="00C00315">
        <w:rPr>
          <w:sz w:val="26"/>
        </w:rPr>
        <w:t xml:space="preserve">intrastate end-user telecommunications retail revenue for the previous calendar year to </w:t>
      </w:r>
      <w:r w:rsidR="008A2312">
        <w:rPr>
          <w:sz w:val="26"/>
        </w:rPr>
        <w:t>VPS</w:t>
      </w:r>
      <w:r w:rsidR="00C00315">
        <w:rPr>
          <w:sz w:val="26"/>
        </w:rPr>
        <w:t xml:space="preserve"> using the web-based portal.  </w:t>
      </w:r>
    </w:p>
    <w:p w14:paraId="3B15E3FE" w14:textId="77777777" w:rsidR="005202AF" w:rsidRDefault="005202AF" w:rsidP="00244D64">
      <w:pPr>
        <w:spacing w:line="360" w:lineRule="auto"/>
        <w:ind w:firstLine="720"/>
        <w:rPr>
          <w:sz w:val="26"/>
        </w:rPr>
      </w:pPr>
    </w:p>
    <w:p w14:paraId="5D4F6342" w14:textId="2F92CFCF" w:rsidR="00C00315" w:rsidRPr="0076167D" w:rsidRDefault="005202AF" w:rsidP="00244D64">
      <w:pPr>
        <w:spacing w:line="360" w:lineRule="auto"/>
        <w:ind w:firstLine="720"/>
        <w:rPr>
          <w:bCs/>
          <w:sz w:val="26"/>
        </w:rPr>
      </w:pPr>
      <w:r>
        <w:rPr>
          <w:sz w:val="26"/>
        </w:rPr>
        <w:t>Section 63.1</w:t>
      </w:r>
      <w:r w:rsidR="0080515D">
        <w:rPr>
          <w:sz w:val="26"/>
        </w:rPr>
        <w:t>6</w:t>
      </w:r>
      <w:r>
        <w:rPr>
          <w:sz w:val="26"/>
        </w:rPr>
        <w:t>5(a) of our regulations also requires c</w:t>
      </w:r>
      <w:r w:rsidRPr="005202AF">
        <w:rPr>
          <w:sz w:val="26"/>
        </w:rPr>
        <w:t xml:space="preserve">ontributing telecommunications providers </w:t>
      </w:r>
      <w:r>
        <w:rPr>
          <w:sz w:val="26"/>
        </w:rPr>
        <w:t xml:space="preserve">to </w:t>
      </w:r>
      <w:r w:rsidR="0080515D">
        <w:rPr>
          <w:sz w:val="26"/>
        </w:rPr>
        <w:t xml:space="preserve">serve a copy of their </w:t>
      </w:r>
      <w:r w:rsidRPr="005202AF">
        <w:rPr>
          <w:sz w:val="26"/>
        </w:rPr>
        <w:t>affidavit identifying the provider’s total intrastate end-user telecommunications retail revenue for the previous calendar year</w:t>
      </w:r>
      <w:r w:rsidR="0080515D">
        <w:rPr>
          <w:sz w:val="26"/>
        </w:rPr>
        <w:t xml:space="preserve"> </w:t>
      </w:r>
      <w:r w:rsidRPr="005202AF">
        <w:rPr>
          <w:sz w:val="26"/>
        </w:rPr>
        <w:t>upon the Commission.</w:t>
      </w:r>
      <w:r w:rsidR="0080515D">
        <w:rPr>
          <w:rStyle w:val="FootnoteReference"/>
          <w:sz w:val="26"/>
        </w:rPr>
        <w:footnoteReference w:id="4"/>
      </w:r>
      <w:r w:rsidR="0080515D">
        <w:rPr>
          <w:sz w:val="26"/>
        </w:rPr>
        <w:t xml:space="preserve">  </w:t>
      </w:r>
      <w:r w:rsidR="00C00315">
        <w:rPr>
          <w:sz w:val="26"/>
        </w:rPr>
        <w:t>Normally, reporting c</w:t>
      </w:r>
      <w:r w:rsidR="00C00315" w:rsidRPr="00447FCA">
        <w:rPr>
          <w:sz w:val="26"/>
        </w:rPr>
        <w:t>arriers w</w:t>
      </w:r>
      <w:r w:rsidR="00C00315">
        <w:rPr>
          <w:sz w:val="26"/>
        </w:rPr>
        <w:t xml:space="preserve">ould </w:t>
      </w:r>
      <w:r w:rsidR="00C00315" w:rsidRPr="00447FCA">
        <w:rPr>
          <w:sz w:val="26"/>
        </w:rPr>
        <w:t>be required to file a paper copy of their annual revenue report with the Commission’s Secretary’s.</w:t>
      </w:r>
      <w:r w:rsidR="00C00315">
        <w:rPr>
          <w:sz w:val="26"/>
        </w:rPr>
        <w:t xml:space="preserve">  </w:t>
      </w:r>
      <w:r w:rsidR="0058369E" w:rsidRPr="0058369E">
        <w:rPr>
          <w:sz w:val="26"/>
          <w:lang w:val="en"/>
        </w:rPr>
        <w:t xml:space="preserve">The </w:t>
      </w:r>
      <w:r w:rsidR="0058369E">
        <w:rPr>
          <w:sz w:val="26"/>
          <w:lang w:val="en"/>
        </w:rPr>
        <w:t xml:space="preserve">Commission had </w:t>
      </w:r>
      <w:r w:rsidR="0058369E" w:rsidRPr="0058369E">
        <w:rPr>
          <w:sz w:val="26"/>
          <w:lang w:val="en"/>
        </w:rPr>
        <w:t xml:space="preserve">suspended </w:t>
      </w:r>
      <w:r w:rsidR="0058369E">
        <w:rPr>
          <w:sz w:val="26"/>
          <w:lang w:val="en"/>
        </w:rPr>
        <w:t xml:space="preserve">certain </w:t>
      </w:r>
      <w:r w:rsidR="002658A3">
        <w:rPr>
          <w:sz w:val="26"/>
          <w:lang w:val="en"/>
        </w:rPr>
        <w:t xml:space="preserve">statutory and </w:t>
      </w:r>
      <w:r w:rsidR="0058369E">
        <w:rPr>
          <w:sz w:val="26"/>
          <w:lang w:val="en"/>
        </w:rPr>
        <w:t>regulatory requirement</w:t>
      </w:r>
      <w:r w:rsidR="002658A3">
        <w:rPr>
          <w:sz w:val="26"/>
          <w:lang w:val="en"/>
        </w:rPr>
        <w:t xml:space="preserve">s as a result of the Governor’s Office issuing </w:t>
      </w:r>
      <w:r w:rsidR="002658A3" w:rsidRPr="002658A3">
        <w:rPr>
          <w:sz w:val="26"/>
        </w:rPr>
        <w:t>a Proclamation of Disaster Emergency</w:t>
      </w:r>
      <w:r w:rsidR="002658A3">
        <w:rPr>
          <w:sz w:val="26"/>
        </w:rPr>
        <w:t xml:space="preserve"> because of the</w:t>
      </w:r>
      <w:r w:rsidR="00772E05">
        <w:rPr>
          <w:sz w:val="26"/>
          <w:lang w:val="en"/>
        </w:rPr>
        <w:t xml:space="preserve"> </w:t>
      </w:r>
      <w:r w:rsidR="0058369E" w:rsidRPr="0058369E">
        <w:rPr>
          <w:sz w:val="26"/>
        </w:rPr>
        <w:t xml:space="preserve">COVID-19 </w:t>
      </w:r>
      <w:r w:rsidR="00772E05">
        <w:rPr>
          <w:sz w:val="26"/>
        </w:rPr>
        <w:t>pandemic</w:t>
      </w:r>
      <w:r w:rsidR="0058369E">
        <w:rPr>
          <w:sz w:val="26"/>
        </w:rPr>
        <w:t xml:space="preserve">.  Specifically, the Commission </w:t>
      </w:r>
      <w:r w:rsidR="002658A3">
        <w:rPr>
          <w:sz w:val="26"/>
        </w:rPr>
        <w:t xml:space="preserve">waived </w:t>
      </w:r>
      <w:r w:rsidR="002658A3" w:rsidRPr="002658A3">
        <w:rPr>
          <w:bCs/>
          <w:sz w:val="26"/>
        </w:rPr>
        <w:t>the requirement for</w:t>
      </w:r>
      <w:r w:rsidR="002658A3">
        <w:rPr>
          <w:bCs/>
          <w:sz w:val="26"/>
        </w:rPr>
        <w:t xml:space="preserve"> </w:t>
      </w:r>
      <w:r w:rsidR="002658A3" w:rsidRPr="002658A3">
        <w:rPr>
          <w:bCs/>
          <w:sz w:val="26"/>
        </w:rPr>
        <w:t xml:space="preserve">paper </w:t>
      </w:r>
      <w:r w:rsidR="002658A3">
        <w:rPr>
          <w:bCs/>
          <w:sz w:val="26"/>
        </w:rPr>
        <w:t xml:space="preserve">filings </w:t>
      </w:r>
      <w:r w:rsidR="002658A3" w:rsidRPr="002658A3">
        <w:rPr>
          <w:bCs/>
          <w:sz w:val="26"/>
        </w:rPr>
        <w:t xml:space="preserve">and </w:t>
      </w:r>
      <w:r w:rsidR="002658A3">
        <w:rPr>
          <w:bCs/>
          <w:sz w:val="26"/>
        </w:rPr>
        <w:t xml:space="preserve">stated that it would </w:t>
      </w:r>
      <w:r w:rsidR="002658A3" w:rsidRPr="002658A3">
        <w:rPr>
          <w:bCs/>
          <w:sz w:val="26"/>
        </w:rPr>
        <w:t>accept only e-filings of all documents.</w:t>
      </w:r>
      <w:r w:rsidR="0058369E">
        <w:rPr>
          <w:rStyle w:val="FootnoteReference"/>
          <w:sz w:val="26"/>
        </w:rPr>
        <w:footnoteReference w:id="5"/>
      </w:r>
      <w:r w:rsidR="002658A3">
        <w:rPr>
          <w:bCs/>
          <w:sz w:val="26"/>
        </w:rPr>
        <w:t xml:space="preserve">  Although th</w:t>
      </w:r>
      <w:r w:rsidR="00636875">
        <w:rPr>
          <w:bCs/>
          <w:sz w:val="26"/>
        </w:rPr>
        <w:t xml:space="preserve">e Commission’s </w:t>
      </w:r>
      <w:r w:rsidR="00636875">
        <w:rPr>
          <w:sz w:val="26"/>
        </w:rPr>
        <w:t xml:space="preserve">Emergency Order at Docket No. </w:t>
      </w:r>
      <w:r w:rsidR="00636875" w:rsidRPr="009A46D6">
        <w:rPr>
          <w:sz w:val="26"/>
        </w:rPr>
        <w:t>M-2020-3019262</w:t>
      </w:r>
      <w:r w:rsidR="00636875">
        <w:rPr>
          <w:bCs/>
          <w:sz w:val="26"/>
        </w:rPr>
        <w:t xml:space="preserve"> terminated on September 30, 2021</w:t>
      </w:r>
      <w:r w:rsidR="002C53CE">
        <w:rPr>
          <w:bCs/>
          <w:sz w:val="26"/>
        </w:rPr>
        <w:t>,</w:t>
      </w:r>
      <w:r w:rsidR="00636875">
        <w:rPr>
          <w:bCs/>
          <w:sz w:val="26"/>
        </w:rPr>
        <w:t xml:space="preserve"> and its corresponding waiver is no longer in effect, </w:t>
      </w:r>
      <w:r w:rsidR="007D3CD9">
        <w:rPr>
          <w:sz w:val="26"/>
        </w:rPr>
        <w:t>pursuant to Section 1.2 of our rules, 52 Pa. Code §1.2(c), t</w:t>
      </w:r>
      <w:r w:rsidR="007D3CD9" w:rsidRPr="007D3CD9">
        <w:rPr>
          <w:sz w:val="26"/>
        </w:rPr>
        <w:t xml:space="preserve">he Commission </w:t>
      </w:r>
      <w:r w:rsidR="007D3CD9">
        <w:rPr>
          <w:sz w:val="26"/>
        </w:rPr>
        <w:t xml:space="preserve">will </w:t>
      </w:r>
      <w:r w:rsidR="00636875">
        <w:rPr>
          <w:sz w:val="26"/>
        </w:rPr>
        <w:t xml:space="preserve">continue to </w:t>
      </w:r>
      <w:r w:rsidR="007D3CD9" w:rsidRPr="007D3CD9">
        <w:rPr>
          <w:sz w:val="26"/>
        </w:rPr>
        <w:t xml:space="preserve">waive </w:t>
      </w:r>
      <w:r w:rsidR="007D3CD9">
        <w:rPr>
          <w:sz w:val="26"/>
        </w:rPr>
        <w:t xml:space="preserve">the paper filing </w:t>
      </w:r>
      <w:r w:rsidR="007D3CD9" w:rsidRPr="007D3CD9">
        <w:rPr>
          <w:sz w:val="26"/>
        </w:rPr>
        <w:t xml:space="preserve">requirement </w:t>
      </w:r>
      <w:r w:rsidR="007D3CD9">
        <w:rPr>
          <w:bCs/>
          <w:sz w:val="26"/>
        </w:rPr>
        <w:t xml:space="preserve">and permit </w:t>
      </w:r>
      <w:r w:rsidR="00636875">
        <w:rPr>
          <w:bCs/>
          <w:sz w:val="26"/>
        </w:rPr>
        <w:t xml:space="preserve">contributing </w:t>
      </w:r>
      <w:r w:rsidR="007D3CD9">
        <w:rPr>
          <w:bCs/>
          <w:sz w:val="26"/>
        </w:rPr>
        <w:t xml:space="preserve">carriers </w:t>
      </w:r>
      <w:r w:rsidR="0080524E">
        <w:rPr>
          <w:bCs/>
          <w:sz w:val="26"/>
        </w:rPr>
        <w:t xml:space="preserve">to </w:t>
      </w:r>
      <w:r w:rsidR="007D3CD9" w:rsidRPr="009A46D6">
        <w:rPr>
          <w:bCs/>
          <w:sz w:val="26"/>
        </w:rPr>
        <w:t xml:space="preserve">file </w:t>
      </w:r>
      <w:r w:rsidR="0080524E">
        <w:rPr>
          <w:bCs/>
          <w:sz w:val="26"/>
        </w:rPr>
        <w:t xml:space="preserve">only </w:t>
      </w:r>
      <w:r w:rsidR="007D3CD9" w:rsidRPr="009A46D6">
        <w:rPr>
          <w:bCs/>
          <w:sz w:val="26"/>
        </w:rPr>
        <w:t>a</w:t>
      </w:r>
      <w:r w:rsidR="007D3CD9">
        <w:rPr>
          <w:bCs/>
          <w:sz w:val="26"/>
        </w:rPr>
        <w:t xml:space="preserve">n electronic </w:t>
      </w:r>
      <w:r w:rsidR="007D3CD9" w:rsidRPr="009A46D6">
        <w:rPr>
          <w:bCs/>
          <w:sz w:val="26"/>
        </w:rPr>
        <w:t>copy of their annual revenue report with the Commission’s Secretary’s Bureau</w:t>
      </w:r>
      <w:r w:rsidR="0080524E">
        <w:rPr>
          <w:bCs/>
          <w:sz w:val="26"/>
        </w:rPr>
        <w:t>.  Th</w:t>
      </w:r>
      <w:r w:rsidR="00636875">
        <w:rPr>
          <w:bCs/>
          <w:sz w:val="26"/>
        </w:rPr>
        <w:t>e</w:t>
      </w:r>
      <w:r w:rsidR="0080524E">
        <w:rPr>
          <w:bCs/>
          <w:sz w:val="26"/>
        </w:rPr>
        <w:t xml:space="preserve"> waiver </w:t>
      </w:r>
      <w:r w:rsidR="007D3CD9" w:rsidRPr="007D3CD9">
        <w:rPr>
          <w:sz w:val="26"/>
        </w:rPr>
        <w:t xml:space="preserve">of this subpart </w:t>
      </w:r>
      <w:r w:rsidR="0080524E">
        <w:rPr>
          <w:sz w:val="26"/>
        </w:rPr>
        <w:t xml:space="preserve">is </w:t>
      </w:r>
      <w:r w:rsidR="007D3CD9" w:rsidRPr="007D3CD9">
        <w:rPr>
          <w:sz w:val="26"/>
        </w:rPr>
        <w:t>appropriate</w:t>
      </w:r>
      <w:r w:rsidR="0080524E">
        <w:rPr>
          <w:sz w:val="26"/>
        </w:rPr>
        <w:t xml:space="preserve"> and </w:t>
      </w:r>
      <w:r w:rsidR="007D3CD9" w:rsidRPr="007D3CD9">
        <w:rPr>
          <w:sz w:val="26"/>
        </w:rPr>
        <w:t>does not adversely affect a substantive right of a</w:t>
      </w:r>
      <w:r w:rsidR="00636875">
        <w:rPr>
          <w:sz w:val="26"/>
        </w:rPr>
        <w:t>ny</w:t>
      </w:r>
      <w:r w:rsidR="007D3CD9" w:rsidRPr="007D3CD9">
        <w:rPr>
          <w:sz w:val="26"/>
        </w:rPr>
        <w:t xml:space="preserve"> party.</w:t>
      </w:r>
      <w:r w:rsidR="0080524E">
        <w:rPr>
          <w:sz w:val="26"/>
        </w:rPr>
        <w:t xml:space="preserve">  </w:t>
      </w:r>
    </w:p>
    <w:p w14:paraId="499FC9DF" w14:textId="77777777" w:rsidR="00C00315" w:rsidRPr="0076167D" w:rsidRDefault="00C00315" w:rsidP="00C00315">
      <w:pPr>
        <w:rPr>
          <w:sz w:val="26"/>
        </w:rPr>
      </w:pPr>
      <w:bookmarkStart w:id="1" w:name="_Hlk56673074"/>
    </w:p>
    <w:p w14:paraId="728B50F1" w14:textId="50BC164D" w:rsidR="00C00315" w:rsidRDefault="00C00315" w:rsidP="00B97B60">
      <w:pPr>
        <w:keepNext/>
        <w:keepLines/>
        <w:spacing w:line="360" w:lineRule="auto"/>
        <w:rPr>
          <w:sz w:val="26"/>
        </w:rPr>
      </w:pPr>
      <w:bookmarkStart w:id="2" w:name="_Hlk87968952"/>
      <w:r>
        <w:rPr>
          <w:b/>
          <w:bCs/>
          <w:sz w:val="26"/>
        </w:rPr>
        <w:lastRenderedPageBreak/>
        <w:t>4.</w:t>
      </w:r>
      <w:r>
        <w:rPr>
          <w:b/>
          <w:bCs/>
          <w:sz w:val="26"/>
        </w:rPr>
        <w:tab/>
      </w:r>
      <w:bookmarkEnd w:id="1"/>
      <w:bookmarkEnd w:id="2"/>
      <w:r w:rsidRPr="002B0BC2">
        <w:rPr>
          <w:b/>
          <w:sz w:val="26"/>
        </w:rPr>
        <w:t>Recommendations for Ensuring Carrier Compliance</w:t>
      </w:r>
    </w:p>
    <w:p w14:paraId="4D5D7C5A" w14:textId="09576D93" w:rsidR="00BD6E70" w:rsidRDefault="00316155" w:rsidP="00B97B60">
      <w:pPr>
        <w:keepNext/>
        <w:keepLines/>
        <w:spacing w:line="360" w:lineRule="auto"/>
        <w:ind w:firstLine="720"/>
        <w:rPr>
          <w:sz w:val="26"/>
        </w:rPr>
      </w:pPr>
      <w:bookmarkStart w:id="3" w:name="_Hlk531176731"/>
      <w:r>
        <w:rPr>
          <w:sz w:val="26"/>
        </w:rPr>
        <w:t xml:space="preserve">VPS </w:t>
      </w:r>
      <w:r w:rsidR="00BD6E70">
        <w:rPr>
          <w:sz w:val="26"/>
        </w:rPr>
        <w:t xml:space="preserve">recommends that the Commission </w:t>
      </w:r>
      <w:r>
        <w:rPr>
          <w:sz w:val="26"/>
        </w:rPr>
        <w:t xml:space="preserve">continue to </w:t>
      </w:r>
      <w:r w:rsidR="00BD6E70">
        <w:rPr>
          <w:sz w:val="26"/>
        </w:rPr>
        <w:t xml:space="preserve">authorize </w:t>
      </w:r>
      <w:r w:rsidR="003F243D">
        <w:rPr>
          <w:sz w:val="26"/>
        </w:rPr>
        <w:t xml:space="preserve">the Fund Administrator </w:t>
      </w:r>
      <w:r w:rsidR="00BD6E70">
        <w:rPr>
          <w:sz w:val="26"/>
        </w:rPr>
        <w:t xml:space="preserve">to conduct a review of a certain number of carriers annually to ensure that carrier filings are compliant with the Commission’s regulations.  </w:t>
      </w:r>
      <w:r w:rsidR="003F243D">
        <w:rPr>
          <w:sz w:val="26"/>
        </w:rPr>
        <w:t xml:space="preserve">The first carrier compliance reviews </w:t>
      </w:r>
      <w:r w:rsidR="00757709">
        <w:rPr>
          <w:sz w:val="26"/>
        </w:rPr>
        <w:t>have been</w:t>
      </w:r>
      <w:r w:rsidR="003F243D">
        <w:rPr>
          <w:sz w:val="26"/>
        </w:rPr>
        <w:t xml:space="preserve"> conducted in 2021</w:t>
      </w:r>
      <w:r w:rsidR="00AA4A3F">
        <w:rPr>
          <w:sz w:val="26"/>
        </w:rPr>
        <w:t xml:space="preserve">.  The Commission </w:t>
      </w:r>
      <w:r w:rsidR="00FC2172">
        <w:rPr>
          <w:sz w:val="26"/>
        </w:rPr>
        <w:t>relied</w:t>
      </w:r>
      <w:r w:rsidR="00BD6E70">
        <w:rPr>
          <w:sz w:val="26"/>
        </w:rPr>
        <w:t xml:space="preserve"> on Section 63.167</w:t>
      </w:r>
      <w:r w:rsidR="00BD6E70" w:rsidRPr="00051272">
        <w:rPr>
          <w:sz w:val="26"/>
        </w:rPr>
        <w:t xml:space="preserve"> </w:t>
      </w:r>
      <w:r w:rsidR="00BD6E70">
        <w:rPr>
          <w:sz w:val="26"/>
        </w:rPr>
        <w:t xml:space="preserve">of our regulations, 52 Pa. Code § 63.167, to authorize </w:t>
      </w:r>
      <w:r w:rsidR="004C7B79">
        <w:rPr>
          <w:sz w:val="26"/>
        </w:rPr>
        <w:t xml:space="preserve">VPS </w:t>
      </w:r>
      <w:r w:rsidR="00BD6E70">
        <w:rPr>
          <w:sz w:val="26"/>
        </w:rPr>
        <w:t xml:space="preserve">to conduct these reviews.  </w:t>
      </w:r>
      <w:r w:rsidR="00CF2A6B">
        <w:rPr>
          <w:sz w:val="26"/>
        </w:rPr>
        <w:t>The results of the carrier compliance reviews</w:t>
      </w:r>
      <w:r w:rsidR="00EB6F24">
        <w:rPr>
          <w:sz w:val="26"/>
        </w:rPr>
        <w:t xml:space="preserve"> continue to be filed</w:t>
      </w:r>
      <w:r w:rsidR="002A50C7">
        <w:rPr>
          <w:sz w:val="26"/>
        </w:rPr>
        <w:t xml:space="preserve"> with the Commission by VPS as </w:t>
      </w:r>
      <w:r w:rsidR="001A4266">
        <w:rPr>
          <w:sz w:val="26"/>
        </w:rPr>
        <w:t xml:space="preserve">“Compliance Reports.”  </w:t>
      </w:r>
      <w:r w:rsidR="00AA4A3F">
        <w:rPr>
          <w:sz w:val="26"/>
        </w:rPr>
        <w:t xml:space="preserve">The Commission </w:t>
      </w:r>
      <w:r w:rsidR="005823FC">
        <w:rPr>
          <w:sz w:val="26"/>
        </w:rPr>
        <w:t>continue</w:t>
      </w:r>
      <w:r w:rsidR="00AA4A3F">
        <w:rPr>
          <w:sz w:val="26"/>
        </w:rPr>
        <w:t xml:space="preserve">s </w:t>
      </w:r>
      <w:r w:rsidR="005823FC">
        <w:rPr>
          <w:sz w:val="26"/>
        </w:rPr>
        <w:t xml:space="preserve">to believe that </w:t>
      </w:r>
      <w:r w:rsidR="00AA4A3F">
        <w:rPr>
          <w:sz w:val="26"/>
        </w:rPr>
        <w:t xml:space="preserve">these </w:t>
      </w:r>
      <w:r w:rsidR="005823FC">
        <w:rPr>
          <w:sz w:val="26"/>
        </w:rPr>
        <w:t xml:space="preserve">carrier </w:t>
      </w:r>
      <w:r w:rsidR="00BD6E70">
        <w:rPr>
          <w:sz w:val="26"/>
        </w:rPr>
        <w:t xml:space="preserve">compliance reviews will ensure that selected contributing companies are making their required contributions to the Fund. </w:t>
      </w:r>
    </w:p>
    <w:p w14:paraId="167866CF" w14:textId="77777777" w:rsidR="00BD6E70" w:rsidRDefault="00BD6E70" w:rsidP="00BD6E70">
      <w:pPr>
        <w:spacing w:line="360" w:lineRule="auto"/>
        <w:rPr>
          <w:sz w:val="26"/>
        </w:rPr>
      </w:pPr>
    </w:p>
    <w:p w14:paraId="240CCC12" w14:textId="75319164" w:rsidR="00BD6E70" w:rsidRDefault="00AA4A3F" w:rsidP="00BD6E70">
      <w:pPr>
        <w:spacing w:line="360" w:lineRule="auto"/>
        <w:ind w:firstLine="720"/>
        <w:rPr>
          <w:sz w:val="26"/>
        </w:rPr>
      </w:pPr>
      <w:r>
        <w:rPr>
          <w:sz w:val="26"/>
        </w:rPr>
        <w:t>However, i</w:t>
      </w:r>
      <w:r w:rsidR="00570C70">
        <w:rPr>
          <w:sz w:val="26"/>
        </w:rPr>
        <w:t xml:space="preserve">n order to </w:t>
      </w:r>
      <w:r w:rsidR="005F4E62">
        <w:rPr>
          <w:sz w:val="26"/>
        </w:rPr>
        <w:t>coincide with</w:t>
      </w:r>
      <w:r w:rsidR="00440BCF">
        <w:rPr>
          <w:sz w:val="26"/>
        </w:rPr>
        <w:t xml:space="preserve"> the </w:t>
      </w:r>
      <w:r w:rsidR="006C0E97">
        <w:rPr>
          <w:sz w:val="26"/>
        </w:rPr>
        <w:t>term of the Fund Administrator</w:t>
      </w:r>
      <w:r>
        <w:rPr>
          <w:sz w:val="26"/>
        </w:rPr>
        <w:t>’s</w:t>
      </w:r>
      <w:r w:rsidR="006C0E97">
        <w:rPr>
          <w:sz w:val="26"/>
        </w:rPr>
        <w:t xml:space="preserve"> contract</w:t>
      </w:r>
      <w:r w:rsidR="00364664">
        <w:rPr>
          <w:sz w:val="26"/>
        </w:rPr>
        <w:t xml:space="preserve">, </w:t>
      </w:r>
      <w:r w:rsidR="00613242">
        <w:rPr>
          <w:sz w:val="26"/>
        </w:rPr>
        <w:t xml:space="preserve">the next </w:t>
      </w:r>
      <w:r w:rsidR="00534243">
        <w:rPr>
          <w:sz w:val="26"/>
        </w:rPr>
        <w:t xml:space="preserve">term of carrier compliance reviews </w:t>
      </w:r>
      <w:r>
        <w:rPr>
          <w:sz w:val="26"/>
        </w:rPr>
        <w:t xml:space="preserve">shall be </w:t>
      </w:r>
      <w:r w:rsidR="00D11E52">
        <w:rPr>
          <w:sz w:val="26"/>
        </w:rPr>
        <w:t xml:space="preserve">scheduled and </w:t>
      </w:r>
      <w:r w:rsidR="00534243">
        <w:rPr>
          <w:sz w:val="26"/>
        </w:rPr>
        <w:t>conducted between July 1, 2022</w:t>
      </w:r>
      <w:r w:rsidR="00733850">
        <w:rPr>
          <w:sz w:val="26"/>
        </w:rPr>
        <w:t>,</w:t>
      </w:r>
      <w:r w:rsidR="00534243">
        <w:rPr>
          <w:sz w:val="26"/>
        </w:rPr>
        <w:t xml:space="preserve"> and June 30, 2023</w:t>
      </w:r>
      <w:r w:rsidR="00FA52A4">
        <w:rPr>
          <w:sz w:val="26"/>
        </w:rPr>
        <w:t xml:space="preserve">.  As the current contract </w:t>
      </w:r>
      <w:r w:rsidR="0026295E">
        <w:rPr>
          <w:sz w:val="26"/>
        </w:rPr>
        <w:t xml:space="preserve">for the Fund Administrator </w:t>
      </w:r>
      <w:r w:rsidR="00FA52A4">
        <w:rPr>
          <w:sz w:val="26"/>
        </w:rPr>
        <w:t xml:space="preserve">will expire </w:t>
      </w:r>
      <w:r w:rsidR="00710C53">
        <w:rPr>
          <w:sz w:val="26"/>
        </w:rPr>
        <w:t>on June 30, 2022, the Commission will</w:t>
      </w:r>
      <w:r w:rsidR="00786978">
        <w:rPr>
          <w:sz w:val="26"/>
        </w:rPr>
        <w:t xml:space="preserve"> work with the next Administrator</w:t>
      </w:r>
      <w:r w:rsidR="00C07836">
        <w:rPr>
          <w:sz w:val="26"/>
        </w:rPr>
        <w:t xml:space="preserve"> to undertake this responsibility.  </w:t>
      </w:r>
      <w:r w:rsidR="00F05642">
        <w:rPr>
          <w:sz w:val="26"/>
        </w:rPr>
        <w:t>Once again</w:t>
      </w:r>
      <w:r w:rsidR="00BD6E70">
        <w:rPr>
          <w:sz w:val="26"/>
        </w:rPr>
        <w:t xml:space="preserve"> separate reviews of contributing carriers as well as carriers whose reported revenues render them </w:t>
      </w:r>
      <w:r w:rsidR="00BD6E70">
        <w:rPr>
          <w:i/>
          <w:iCs/>
          <w:sz w:val="26"/>
        </w:rPr>
        <w:t>de minimis</w:t>
      </w:r>
      <w:r w:rsidR="00BD6E70">
        <w:rPr>
          <w:sz w:val="26"/>
        </w:rPr>
        <w:t xml:space="preserve"> carriers</w:t>
      </w:r>
      <w:r w:rsidR="00D11E52">
        <w:rPr>
          <w:rStyle w:val="FootnoteReference"/>
          <w:sz w:val="26"/>
        </w:rPr>
        <w:footnoteReference w:id="6"/>
      </w:r>
      <w:r w:rsidR="00BD6E70">
        <w:rPr>
          <w:sz w:val="26"/>
        </w:rPr>
        <w:t xml:space="preserve"> pursuant to subsection 63.169(c) of our regulations, 52 Pa. Code § 63.169(c)</w:t>
      </w:r>
      <w:r w:rsidR="00D11E52">
        <w:rPr>
          <w:sz w:val="26"/>
        </w:rPr>
        <w:t xml:space="preserve">, </w:t>
      </w:r>
      <w:r w:rsidR="006142CB">
        <w:rPr>
          <w:sz w:val="26"/>
        </w:rPr>
        <w:t>will be conducted</w:t>
      </w:r>
      <w:r w:rsidR="00BD6E70">
        <w:rPr>
          <w:sz w:val="26"/>
        </w:rPr>
        <w:t xml:space="preserve">.  To implement these carrier reviews, </w:t>
      </w:r>
      <w:r w:rsidR="00D11E52">
        <w:rPr>
          <w:sz w:val="26"/>
        </w:rPr>
        <w:t xml:space="preserve">the </w:t>
      </w:r>
      <w:r w:rsidR="00246328">
        <w:rPr>
          <w:sz w:val="26"/>
        </w:rPr>
        <w:t xml:space="preserve">Commission will work with the incoming Fund Administrator to </w:t>
      </w:r>
      <w:r w:rsidR="00BD6E70">
        <w:rPr>
          <w:sz w:val="26"/>
        </w:rPr>
        <w:t>describe in detail the compliance reviews to be conducted and specify the cost structure to complete this work.</w:t>
      </w:r>
    </w:p>
    <w:p w14:paraId="19FDA336" w14:textId="77777777" w:rsidR="00BD6E70" w:rsidRDefault="00BD6E70" w:rsidP="00BD6E70">
      <w:pPr>
        <w:spacing w:line="360" w:lineRule="auto"/>
        <w:ind w:firstLine="720"/>
        <w:rPr>
          <w:sz w:val="26"/>
        </w:rPr>
      </w:pPr>
    </w:p>
    <w:p w14:paraId="326B0BD6" w14:textId="6606DD5A" w:rsidR="00BD6E70" w:rsidRDefault="00D11E52" w:rsidP="00BD6E70">
      <w:pPr>
        <w:spacing w:line="360" w:lineRule="auto"/>
        <w:ind w:firstLine="720"/>
        <w:rPr>
          <w:sz w:val="26"/>
        </w:rPr>
      </w:pPr>
      <w:r>
        <w:rPr>
          <w:sz w:val="26"/>
        </w:rPr>
        <w:t>Specifically, t</w:t>
      </w:r>
      <w:r w:rsidR="00BD6E70">
        <w:rPr>
          <w:sz w:val="26"/>
        </w:rPr>
        <w:t xml:space="preserve">he Commission authorizes </w:t>
      </w:r>
      <w:r>
        <w:rPr>
          <w:sz w:val="26"/>
        </w:rPr>
        <w:t xml:space="preserve">the </w:t>
      </w:r>
      <w:r w:rsidR="00854F83">
        <w:rPr>
          <w:sz w:val="26"/>
        </w:rPr>
        <w:t xml:space="preserve">incoming Fund Administrator </w:t>
      </w:r>
      <w:r w:rsidR="00BD6E70">
        <w:rPr>
          <w:sz w:val="26"/>
        </w:rPr>
        <w:t>to conduct carrier compliance reviews of ten contributing carriers for </w:t>
      </w:r>
      <w:r w:rsidR="00690B3A">
        <w:rPr>
          <w:sz w:val="26"/>
        </w:rPr>
        <w:t>2022</w:t>
      </w:r>
      <w:r>
        <w:rPr>
          <w:sz w:val="26"/>
        </w:rPr>
        <w:t xml:space="preserve"> for the limited purpose of verifying their intrastate end</w:t>
      </w:r>
      <w:r>
        <w:rPr>
          <w:sz w:val="26"/>
        </w:rPr>
        <w:noBreakHyphen/>
        <w:t xml:space="preserve">user telecommunications retail revenues and other information used by the administrator in determining assessments and disbursements for the Fund.  These carrier compliance reviews will consist of </w:t>
      </w:r>
      <w:r w:rsidR="00BD6E70">
        <w:rPr>
          <w:sz w:val="26"/>
        </w:rPr>
        <w:t xml:space="preserve">site visits </w:t>
      </w:r>
      <w:r w:rsidR="00BD6E70">
        <w:rPr>
          <w:sz w:val="26"/>
        </w:rPr>
        <w:lastRenderedPageBreak/>
        <w:t xml:space="preserve">to the selected carriers, if </w:t>
      </w:r>
      <w:r>
        <w:rPr>
          <w:sz w:val="26"/>
        </w:rPr>
        <w:t xml:space="preserve">deemed </w:t>
      </w:r>
      <w:r w:rsidR="00BD6E70">
        <w:rPr>
          <w:sz w:val="26"/>
        </w:rPr>
        <w:t xml:space="preserve">necessary, and if such can be safely and appropriately conducted given the existence of the COVID-19 pandemic and the social distancing safety protocols issued by the Centers for Disease Control and Prevention.  In lieu of onsite visits, </w:t>
      </w:r>
      <w:r w:rsidR="001A5DAC">
        <w:rPr>
          <w:sz w:val="26"/>
        </w:rPr>
        <w:t xml:space="preserve">the Fund Administrator </w:t>
      </w:r>
      <w:r w:rsidR="00BD6E70">
        <w:rPr>
          <w:sz w:val="26"/>
        </w:rPr>
        <w:t xml:space="preserve">and the carrier will both agree to other means to ensure the compliance review will result in </w:t>
      </w:r>
      <w:r w:rsidR="0026295E">
        <w:rPr>
          <w:sz w:val="26"/>
        </w:rPr>
        <w:t xml:space="preserve">the </w:t>
      </w:r>
      <w:r w:rsidR="001A5DAC">
        <w:rPr>
          <w:sz w:val="26"/>
        </w:rPr>
        <w:t xml:space="preserve">Administrator </w:t>
      </w:r>
      <w:r w:rsidR="00BD6E70">
        <w:rPr>
          <w:sz w:val="26"/>
        </w:rPr>
        <w:t xml:space="preserve">being able to verify adequately the carrier’s reports to the Fund.  </w:t>
      </w:r>
    </w:p>
    <w:p w14:paraId="4FB1D394" w14:textId="77777777" w:rsidR="00BD6E70" w:rsidRDefault="00BD6E70" w:rsidP="00BD6E70">
      <w:pPr>
        <w:spacing w:line="360" w:lineRule="auto"/>
        <w:rPr>
          <w:sz w:val="26"/>
        </w:rPr>
      </w:pPr>
    </w:p>
    <w:p w14:paraId="726FC06D" w14:textId="259D2BDD" w:rsidR="00BD6E70" w:rsidRDefault="00DC1017" w:rsidP="006023AF">
      <w:pPr>
        <w:spacing w:line="360" w:lineRule="auto"/>
        <w:ind w:firstLine="720"/>
        <w:rPr>
          <w:sz w:val="26"/>
        </w:rPr>
      </w:pPr>
      <w:r>
        <w:rPr>
          <w:sz w:val="26"/>
        </w:rPr>
        <w:t xml:space="preserve">The Fund Administrator </w:t>
      </w:r>
      <w:r w:rsidR="00BD6E70">
        <w:rPr>
          <w:sz w:val="26"/>
        </w:rPr>
        <w:t xml:space="preserve">will submit a recommended carrier selection plan to the Commission for approval.  Upon completion of </w:t>
      </w:r>
      <w:r w:rsidR="008C35E0">
        <w:rPr>
          <w:sz w:val="26"/>
        </w:rPr>
        <w:t xml:space="preserve">each </w:t>
      </w:r>
      <w:r w:rsidR="00BD6E70">
        <w:rPr>
          <w:sz w:val="26"/>
        </w:rPr>
        <w:t xml:space="preserve">approved compliance review, </w:t>
      </w:r>
      <w:r w:rsidR="006023AF">
        <w:rPr>
          <w:sz w:val="26"/>
        </w:rPr>
        <w:t xml:space="preserve">the </w:t>
      </w:r>
      <w:r w:rsidR="00D11E52">
        <w:rPr>
          <w:sz w:val="26"/>
        </w:rPr>
        <w:t xml:space="preserve">Fund </w:t>
      </w:r>
      <w:r w:rsidR="006023AF">
        <w:rPr>
          <w:sz w:val="26"/>
        </w:rPr>
        <w:t xml:space="preserve">Administrator </w:t>
      </w:r>
      <w:r w:rsidR="00BD6E70">
        <w:rPr>
          <w:sz w:val="26"/>
        </w:rPr>
        <w:t>will then submit a written report to the Commission that sets forth its findings and any recommended courses of action needed to remedy any findings of noncompliance.  For each carrier that is selected, the Commission will open a docket for the compliance review and once a final report has been approved by the Commission, the docket will be closed.</w:t>
      </w:r>
    </w:p>
    <w:p w14:paraId="44360A69" w14:textId="77777777" w:rsidR="00BD6E70" w:rsidRDefault="00BD6E70" w:rsidP="00BD6E70">
      <w:pPr>
        <w:spacing w:line="360" w:lineRule="auto"/>
        <w:ind w:firstLine="720"/>
        <w:rPr>
          <w:sz w:val="26"/>
        </w:rPr>
      </w:pPr>
    </w:p>
    <w:p w14:paraId="683A3EE0" w14:textId="2A04C99D" w:rsidR="00BD6E70" w:rsidRDefault="00BD6E70" w:rsidP="00BD6E70">
      <w:pPr>
        <w:spacing w:line="360" w:lineRule="auto"/>
        <w:ind w:firstLine="720"/>
        <w:rPr>
          <w:sz w:val="26"/>
        </w:rPr>
      </w:pPr>
      <w:r>
        <w:rPr>
          <w:sz w:val="26"/>
        </w:rPr>
        <w:t xml:space="preserve">Separately, the Commission authorizes </w:t>
      </w:r>
      <w:r w:rsidR="00FC0654">
        <w:rPr>
          <w:sz w:val="26"/>
        </w:rPr>
        <w:t xml:space="preserve">the incoming Fund Administrator </w:t>
      </w:r>
      <w:r>
        <w:rPr>
          <w:sz w:val="26"/>
        </w:rPr>
        <w:t>to conduct “spot</w:t>
      </w:r>
      <w:r>
        <w:rPr>
          <w:sz w:val="26"/>
        </w:rPr>
        <w:noBreakHyphen/>
        <w:t xml:space="preserve">check” compliance reviews of ten telecommunications providers whose revenues are reported as </w:t>
      </w:r>
      <w:r>
        <w:rPr>
          <w:i/>
          <w:iCs/>
          <w:sz w:val="26"/>
        </w:rPr>
        <w:t>de minimis</w:t>
      </w:r>
      <w:r>
        <w:rPr>
          <w:sz w:val="26"/>
        </w:rPr>
        <w:t xml:space="preserve"> for two consecutive years.  This measure will ensure that providers meet the criteria for </w:t>
      </w:r>
      <w:r>
        <w:rPr>
          <w:i/>
          <w:iCs/>
          <w:sz w:val="26"/>
        </w:rPr>
        <w:t>de minimis</w:t>
      </w:r>
      <w:r>
        <w:rPr>
          <w:sz w:val="26"/>
        </w:rPr>
        <w:t xml:space="preserve"> status as these providers are not required to submit payment to the Fund.  All carrier compliance reviews for this subset of providers will be desktop reviews and will rely on information gathered via Data Requests.  The Data Requests are to be comprehensive and meant to gather sufficient information to determine compliance.  </w:t>
      </w:r>
      <w:r w:rsidR="00C35EF1">
        <w:rPr>
          <w:sz w:val="26"/>
        </w:rPr>
        <w:t xml:space="preserve">VPS </w:t>
      </w:r>
      <w:r>
        <w:rPr>
          <w:sz w:val="26"/>
        </w:rPr>
        <w:t xml:space="preserve">will submit a recommended provider selection plan to the Commission for approval of the ten </w:t>
      </w:r>
      <w:r w:rsidRPr="005621E0">
        <w:rPr>
          <w:i/>
          <w:iCs/>
          <w:sz w:val="26"/>
        </w:rPr>
        <w:t>de minimis</w:t>
      </w:r>
      <w:r>
        <w:rPr>
          <w:sz w:val="26"/>
        </w:rPr>
        <w:t xml:space="preserve"> carriers.  Upon completion of </w:t>
      </w:r>
      <w:r w:rsidR="009525F0">
        <w:rPr>
          <w:sz w:val="26"/>
        </w:rPr>
        <w:t xml:space="preserve">each </w:t>
      </w:r>
      <w:r>
        <w:rPr>
          <w:sz w:val="26"/>
        </w:rPr>
        <w:t xml:space="preserve">approved compliance review, </w:t>
      </w:r>
      <w:r w:rsidR="00C35EF1">
        <w:rPr>
          <w:sz w:val="26"/>
        </w:rPr>
        <w:t xml:space="preserve">VPS </w:t>
      </w:r>
      <w:r>
        <w:rPr>
          <w:sz w:val="26"/>
        </w:rPr>
        <w:t xml:space="preserve">will submit a written report to the Commission including findings and recommended courses of action to remedy any findings of noncompliance.  For each </w:t>
      </w:r>
      <w:r w:rsidRPr="005621E0">
        <w:rPr>
          <w:i/>
          <w:iCs/>
          <w:sz w:val="26"/>
        </w:rPr>
        <w:t>de minimis</w:t>
      </w:r>
      <w:r>
        <w:rPr>
          <w:sz w:val="26"/>
        </w:rPr>
        <w:t xml:space="preserve"> provider selected, the Commission will open a docket for the compliance review and once a final report has been approved by the Commission, the docket will be closed.</w:t>
      </w:r>
    </w:p>
    <w:p w14:paraId="79319BAC" w14:textId="3F865E1B" w:rsidR="00BD6E70" w:rsidRPr="00F42FD5" w:rsidRDefault="00BD6E70" w:rsidP="00BD6E70">
      <w:pPr>
        <w:spacing w:line="360" w:lineRule="auto"/>
        <w:ind w:firstLine="720"/>
        <w:rPr>
          <w:sz w:val="26"/>
        </w:rPr>
      </w:pPr>
      <w:r>
        <w:rPr>
          <w:sz w:val="26"/>
        </w:rPr>
        <w:lastRenderedPageBreak/>
        <w:t>The Commission will continue to reevaluate the need for and mechanism of carrier compliance reviews annually</w:t>
      </w:r>
      <w:r w:rsidR="009E7855">
        <w:rPr>
          <w:sz w:val="26"/>
        </w:rPr>
        <w:t xml:space="preserve"> beginning with i</w:t>
      </w:r>
      <w:r w:rsidR="006F1834">
        <w:rPr>
          <w:sz w:val="26"/>
        </w:rPr>
        <w:t>ts Assessment Order entered in 2023</w:t>
      </w:r>
      <w:r>
        <w:rPr>
          <w:sz w:val="26"/>
        </w:rPr>
        <w:t>.</w:t>
      </w:r>
    </w:p>
    <w:p w14:paraId="18C95DDD" w14:textId="77777777" w:rsidR="00C00315" w:rsidRDefault="00C00315" w:rsidP="00C00315">
      <w:pPr>
        <w:spacing w:line="360" w:lineRule="auto"/>
        <w:rPr>
          <w:sz w:val="26"/>
        </w:rPr>
      </w:pPr>
    </w:p>
    <w:bookmarkEnd w:id="3"/>
    <w:p w14:paraId="29CE65DA" w14:textId="60D64B55" w:rsidR="00C00315" w:rsidRPr="002B0BC2" w:rsidRDefault="00077003" w:rsidP="00C00315">
      <w:pPr>
        <w:spacing w:line="360" w:lineRule="auto"/>
        <w:rPr>
          <w:b/>
          <w:sz w:val="26"/>
        </w:rPr>
      </w:pPr>
      <w:r>
        <w:rPr>
          <w:b/>
          <w:sz w:val="26"/>
        </w:rPr>
        <w:t>5</w:t>
      </w:r>
      <w:r w:rsidR="00C00315" w:rsidRPr="002B0BC2">
        <w:rPr>
          <w:b/>
          <w:sz w:val="26"/>
        </w:rPr>
        <w:t>.</w:t>
      </w:r>
      <w:r w:rsidR="00C00315" w:rsidRPr="002B0BC2">
        <w:rPr>
          <w:b/>
          <w:sz w:val="26"/>
        </w:rPr>
        <w:tab/>
        <w:t xml:space="preserve">Assessment Rate for Calendar Year </w:t>
      </w:r>
      <w:r w:rsidR="00504C51" w:rsidRPr="002B0BC2">
        <w:rPr>
          <w:b/>
          <w:sz w:val="26"/>
        </w:rPr>
        <w:t>20</w:t>
      </w:r>
      <w:r w:rsidR="00504C51">
        <w:rPr>
          <w:b/>
          <w:sz w:val="26"/>
        </w:rPr>
        <w:t>22</w:t>
      </w:r>
    </w:p>
    <w:p w14:paraId="6E261404" w14:textId="31AF5427" w:rsidR="00C00315" w:rsidRDefault="00C00315" w:rsidP="00C00315">
      <w:pPr>
        <w:spacing w:line="360" w:lineRule="auto"/>
        <w:ind w:firstLine="720"/>
        <w:rPr>
          <w:sz w:val="26"/>
        </w:rPr>
      </w:pPr>
      <w:r w:rsidRPr="00A92953">
        <w:rPr>
          <w:sz w:val="26"/>
        </w:rPr>
        <w:t xml:space="preserve">We agree with </w:t>
      </w:r>
      <w:r w:rsidR="008A2312">
        <w:rPr>
          <w:sz w:val="26"/>
        </w:rPr>
        <w:t>VPS</w:t>
      </w:r>
      <w:r w:rsidRPr="00A92953">
        <w:rPr>
          <w:sz w:val="26"/>
        </w:rPr>
        <w:t xml:space="preserve"> that each </w:t>
      </w:r>
      <w:r>
        <w:rPr>
          <w:sz w:val="26"/>
        </w:rPr>
        <w:t>provider</w:t>
      </w:r>
      <w:r w:rsidRPr="00A92953">
        <w:rPr>
          <w:sz w:val="26"/>
        </w:rPr>
        <w:t xml:space="preserve">’s contribution rate should be </w:t>
      </w:r>
      <w:r w:rsidR="009D0010">
        <w:rPr>
          <w:sz w:val="26"/>
        </w:rPr>
        <w:t>de</w:t>
      </w:r>
      <w:r>
        <w:rPr>
          <w:sz w:val="26"/>
        </w:rPr>
        <w:t>creased</w:t>
      </w:r>
      <w:r w:rsidRPr="00A92953">
        <w:rPr>
          <w:sz w:val="26"/>
        </w:rPr>
        <w:t xml:space="preserve"> from</w:t>
      </w:r>
      <w:r>
        <w:rPr>
          <w:sz w:val="26"/>
        </w:rPr>
        <w:t xml:space="preserve"> 2.</w:t>
      </w:r>
      <w:r w:rsidR="000D6C0C">
        <w:rPr>
          <w:sz w:val="26"/>
        </w:rPr>
        <w:t>1673586</w:t>
      </w:r>
      <w:r w:rsidRPr="00C86B04">
        <w:rPr>
          <w:sz w:val="26"/>
        </w:rPr>
        <w:t>% (</w:t>
      </w:r>
      <w:r>
        <w:rPr>
          <w:sz w:val="26"/>
        </w:rPr>
        <w:t>0.02</w:t>
      </w:r>
      <w:r w:rsidR="000D6C0C">
        <w:rPr>
          <w:sz w:val="26"/>
        </w:rPr>
        <w:t>1673586</w:t>
      </w:r>
      <w:r w:rsidRPr="00C86B04">
        <w:rPr>
          <w:sz w:val="26"/>
        </w:rPr>
        <w:t>) of 201</w:t>
      </w:r>
      <w:r w:rsidR="000D6C0C">
        <w:rPr>
          <w:sz w:val="26"/>
        </w:rPr>
        <w:t>9</w:t>
      </w:r>
      <w:r w:rsidRPr="00A92953">
        <w:rPr>
          <w:sz w:val="26"/>
        </w:rPr>
        <w:t xml:space="preserve"> average monthly intrastate end-user retail telecommunications revenue to </w:t>
      </w:r>
      <w:r>
        <w:rPr>
          <w:sz w:val="26"/>
        </w:rPr>
        <w:t>2.</w:t>
      </w:r>
      <w:r w:rsidR="000D6C0C">
        <w:rPr>
          <w:sz w:val="26"/>
        </w:rPr>
        <w:t>1255092</w:t>
      </w:r>
      <w:r w:rsidRPr="00C86B04">
        <w:rPr>
          <w:sz w:val="26"/>
        </w:rPr>
        <w:t>% (</w:t>
      </w:r>
      <w:r>
        <w:rPr>
          <w:sz w:val="26"/>
        </w:rPr>
        <w:t>0.02</w:t>
      </w:r>
      <w:r w:rsidR="000D6C0C">
        <w:rPr>
          <w:sz w:val="26"/>
        </w:rPr>
        <w:t>1255092</w:t>
      </w:r>
      <w:r w:rsidRPr="00C86B04">
        <w:rPr>
          <w:sz w:val="26"/>
        </w:rPr>
        <w:t>) of 20</w:t>
      </w:r>
      <w:r w:rsidR="000D6C0C">
        <w:rPr>
          <w:sz w:val="26"/>
        </w:rPr>
        <w:t>20</w:t>
      </w:r>
      <w:r w:rsidRPr="00A92953">
        <w:rPr>
          <w:sz w:val="26"/>
        </w:rPr>
        <w:t xml:space="preserve"> average monthly intrastate end-user retail telecommunications revenue.  This represents a </w:t>
      </w:r>
      <w:r w:rsidR="009D0010">
        <w:rPr>
          <w:sz w:val="26"/>
        </w:rPr>
        <w:t>de</w:t>
      </w:r>
      <w:r>
        <w:rPr>
          <w:sz w:val="26"/>
        </w:rPr>
        <w:t>crease</w:t>
      </w:r>
      <w:r w:rsidRPr="00A92953">
        <w:rPr>
          <w:sz w:val="26"/>
        </w:rPr>
        <w:t xml:space="preserve"> of </w:t>
      </w:r>
      <w:r w:rsidRPr="00447FCA">
        <w:rPr>
          <w:sz w:val="26"/>
        </w:rPr>
        <w:t xml:space="preserve">approximately </w:t>
      </w:r>
      <w:r w:rsidR="009D0010">
        <w:rPr>
          <w:sz w:val="26"/>
        </w:rPr>
        <w:t>1</w:t>
      </w:r>
      <w:r w:rsidRPr="00447FCA">
        <w:rPr>
          <w:sz w:val="26"/>
        </w:rPr>
        <w:t>.</w:t>
      </w:r>
      <w:r w:rsidR="009D0010">
        <w:rPr>
          <w:sz w:val="26"/>
        </w:rPr>
        <w:t>93</w:t>
      </w:r>
      <w:r w:rsidRPr="00447FCA">
        <w:rPr>
          <w:sz w:val="26"/>
        </w:rPr>
        <w:t>%</w:t>
      </w:r>
      <w:r w:rsidR="00F818C3">
        <w:rPr>
          <w:sz w:val="26"/>
        </w:rPr>
        <w:t>.  The new contribution rate</w:t>
      </w:r>
      <w:r>
        <w:rPr>
          <w:sz w:val="26"/>
        </w:rPr>
        <w:t xml:space="preserve"> will cover the projected expenses for the Fund for calendar year 202</w:t>
      </w:r>
      <w:r w:rsidR="009D0010">
        <w:rPr>
          <w:sz w:val="26"/>
        </w:rPr>
        <w:t>2</w:t>
      </w:r>
      <w:r>
        <w:rPr>
          <w:sz w:val="26"/>
        </w:rPr>
        <w:t>.</w:t>
      </w:r>
    </w:p>
    <w:p w14:paraId="45DAC3A8" w14:textId="77777777" w:rsidR="00C00315" w:rsidRDefault="00C00315" w:rsidP="00C00315">
      <w:pPr>
        <w:spacing w:line="360" w:lineRule="auto"/>
        <w:rPr>
          <w:sz w:val="26"/>
        </w:rPr>
      </w:pPr>
    </w:p>
    <w:p w14:paraId="7490D494" w14:textId="5092925C" w:rsidR="00C00315" w:rsidRPr="00A92953" w:rsidRDefault="008A2312" w:rsidP="00C00315">
      <w:pPr>
        <w:spacing w:line="360" w:lineRule="auto"/>
        <w:ind w:firstLine="720"/>
        <w:rPr>
          <w:sz w:val="26"/>
        </w:rPr>
      </w:pPr>
      <w:r>
        <w:rPr>
          <w:sz w:val="26"/>
        </w:rPr>
        <w:t>VPS</w:t>
      </w:r>
      <w:r w:rsidR="00C00315">
        <w:rPr>
          <w:sz w:val="26"/>
        </w:rPr>
        <w:t xml:space="preserve"> based the </w:t>
      </w:r>
      <w:r w:rsidR="00C00315" w:rsidRPr="00A92953">
        <w:rPr>
          <w:sz w:val="26"/>
        </w:rPr>
        <w:t>assessment calculation on data submitted by telecommunications carriers during the annual data collection process</w:t>
      </w:r>
      <w:r w:rsidR="00C00315">
        <w:rPr>
          <w:sz w:val="26"/>
        </w:rPr>
        <w:t>,</w:t>
      </w:r>
      <w:r w:rsidR="00C00315" w:rsidRPr="00A92953">
        <w:rPr>
          <w:sz w:val="26"/>
        </w:rPr>
        <w:t xml:space="preserve"> as well as </w:t>
      </w:r>
      <w:r>
        <w:rPr>
          <w:sz w:val="26"/>
        </w:rPr>
        <w:t>VPS</w:t>
      </w:r>
      <w:r w:rsidR="00C00315" w:rsidRPr="00A92953">
        <w:rPr>
          <w:sz w:val="26"/>
        </w:rPr>
        <w:t>’s projections of the Fund carryover balance and projected 20</w:t>
      </w:r>
      <w:r w:rsidR="00C00315">
        <w:rPr>
          <w:sz w:val="26"/>
        </w:rPr>
        <w:t>2</w:t>
      </w:r>
      <w:r w:rsidR="009D0010">
        <w:rPr>
          <w:sz w:val="26"/>
        </w:rPr>
        <w:t>2</w:t>
      </w:r>
      <w:r w:rsidR="00C00315" w:rsidRPr="00A92953">
        <w:rPr>
          <w:sz w:val="26"/>
        </w:rPr>
        <w:t xml:space="preserve"> administrative and auditing fees as follows:</w:t>
      </w:r>
    </w:p>
    <w:p w14:paraId="733815B8" w14:textId="77777777" w:rsidR="00C00315" w:rsidRPr="00A92953" w:rsidRDefault="00C00315" w:rsidP="00C00315">
      <w:pPr>
        <w:ind w:left="1440" w:hanging="720"/>
        <w:rPr>
          <w:sz w:val="26"/>
        </w:rPr>
      </w:pPr>
      <w:bookmarkStart w:id="4" w:name="_Hlk23229473"/>
      <w:r w:rsidRPr="00A92953">
        <w:rPr>
          <w:sz w:val="26"/>
        </w:rPr>
        <w:t>1.</w:t>
      </w:r>
      <w:r w:rsidRPr="00A92953">
        <w:rPr>
          <w:sz w:val="26"/>
        </w:rPr>
        <w:tab/>
      </w:r>
      <w:r>
        <w:rPr>
          <w:sz w:val="26"/>
        </w:rPr>
        <w:t>For recipient carriers, reported 20</w:t>
      </w:r>
      <w:r w:rsidR="001B52C8">
        <w:rPr>
          <w:sz w:val="26"/>
        </w:rPr>
        <w:t>19</w:t>
      </w:r>
      <w:r>
        <w:rPr>
          <w:sz w:val="26"/>
        </w:rPr>
        <w:t>/20</w:t>
      </w:r>
      <w:r w:rsidR="001B52C8">
        <w:rPr>
          <w:sz w:val="26"/>
        </w:rPr>
        <w:t>20</w:t>
      </w:r>
      <w:r>
        <w:rPr>
          <w:sz w:val="26"/>
        </w:rPr>
        <w:t xml:space="preserve"> annual access line growth rate = </w:t>
      </w:r>
      <w:r>
        <w:rPr>
          <w:sz w:val="26"/>
        </w:rPr>
        <w:noBreakHyphen/>
      </w:r>
      <w:r w:rsidR="001B52C8">
        <w:rPr>
          <w:sz w:val="26"/>
        </w:rPr>
        <w:t>13.41</w:t>
      </w:r>
      <w:r>
        <w:rPr>
          <w:sz w:val="26"/>
        </w:rPr>
        <w:t>%.</w:t>
      </w:r>
    </w:p>
    <w:p w14:paraId="49A619AC" w14:textId="77777777" w:rsidR="00C00315" w:rsidRPr="00A92953" w:rsidRDefault="00C00315" w:rsidP="00C00315">
      <w:pPr>
        <w:ind w:left="1440" w:hanging="720"/>
        <w:rPr>
          <w:sz w:val="26"/>
        </w:rPr>
      </w:pPr>
      <w:r>
        <w:rPr>
          <w:sz w:val="26"/>
        </w:rPr>
        <w:t>2.</w:t>
      </w:r>
      <w:r>
        <w:rPr>
          <w:sz w:val="26"/>
        </w:rPr>
        <w:tab/>
        <w:t xml:space="preserve">Projected </w:t>
      </w:r>
      <w:proofErr w:type="spellStart"/>
      <w:r>
        <w:rPr>
          <w:sz w:val="26"/>
        </w:rPr>
        <w:t>Pa</w:t>
      </w:r>
      <w:r w:rsidRPr="00A92953">
        <w:rPr>
          <w:sz w:val="26"/>
        </w:rPr>
        <w:t>USF</w:t>
      </w:r>
      <w:proofErr w:type="spellEnd"/>
      <w:r w:rsidRPr="00A92953">
        <w:rPr>
          <w:sz w:val="26"/>
        </w:rPr>
        <w:t xml:space="preserve"> Fund balance as of 12/31/</w:t>
      </w:r>
      <w:r>
        <w:rPr>
          <w:sz w:val="26"/>
        </w:rPr>
        <w:t>2</w:t>
      </w:r>
      <w:r w:rsidR="001B52C8">
        <w:rPr>
          <w:sz w:val="26"/>
        </w:rPr>
        <w:t>1</w:t>
      </w:r>
      <w:r w:rsidRPr="00A92953">
        <w:rPr>
          <w:sz w:val="26"/>
        </w:rPr>
        <w:t xml:space="preserve"> = $</w:t>
      </w:r>
      <w:r w:rsidR="001B52C8">
        <w:rPr>
          <w:sz w:val="26"/>
        </w:rPr>
        <w:t>2,318,055.04</w:t>
      </w:r>
      <w:r w:rsidR="00A034E8">
        <w:rPr>
          <w:rStyle w:val="FootnoteReference"/>
          <w:sz w:val="26"/>
        </w:rPr>
        <w:footnoteReference w:id="7"/>
      </w:r>
    </w:p>
    <w:p w14:paraId="0433AFA2" w14:textId="34FA7247" w:rsidR="00C00315" w:rsidRPr="00A92953" w:rsidRDefault="00C00315" w:rsidP="00C00315">
      <w:pPr>
        <w:ind w:left="1440" w:right="720" w:hanging="720"/>
        <w:rPr>
          <w:sz w:val="26"/>
        </w:rPr>
      </w:pPr>
      <w:r w:rsidRPr="00A92953">
        <w:rPr>
          <w:sz w:val="26"/>
        </w:rPr>
        <w:t>3.</w:t>
      </w:r>
      <w:r w:rsidRPr="00A92953">
        <w:rPr>
          <w:sz w:val="26"/>
        </w:rPr>
        <w:tab/>
        <w:t xml:space="preserve">Projected </w:t>
      </w:r>
      <w:r w:rsidR="00626EBD" w:rsidRPr="00A92953">
        <w:rPr>
          <w:sz w:val="26"/>
        </w:rPr>
        <w:t>20</w:t>
      </w:r>
      <w:r w:rsidR="00626EBD">
        <w:rPr>
          <w:sz w:val="26"/>
        </w:rPr>
        <w:t>22</w:t>
      </w:r>
      <w:r w:rsidR="00626EBD" w:rsidRPr="00A92953">
        <w:rPr>
          <w:sz w:val="26"/>
        </w:rPr>
        <w:t xml:space="preserve"> </w:t>
      </w:r>
      <w:r w:rsidRPr="00A92953">
        <w:rPr>
          <w:sz w:val="26"/>
        </w:rPr>
        <w:t>annual support due to recipient carriers = $</w:t>
      </w:r>
      <w:r>
        <w:rPr>
          <w:sz w:val="26"/>
        </w:rPr>
        <w:t>33,828,568.72</w:t>
      </w:r>
      <w:r w:rsidRPr="00A92953">
        <w:rPr>
          <w:sz w:val="26"/>
          <w:vertAlign w:val="superscript"/>
        </w:rPr>
        <w:footnoteReference w:id="8"/>
      </w:r>
    </w:p>
    <w:p w14:paraId="4DE58CA7" w14:textId="55AB2B7D" w:rsidR="00C00315" w:rsidRDefault="00C00315" w:rsidP="00C00315">
      <w:pPr>
        <w:ind w:left="1440" w:hanging="720"/>
        <w:rPr>
          <w:sz w:val="26"/>
        </w:rPr>
      </w:pPr>
      <w:r w:rsidRPr="00A92953">
        <w:rPr>
          <w:sz w:val="26"/>
        </w:rPr>
        <w:t>4.</w:t>
      </w:r>
      <w:r w:rsidRPr="00A92953">
        <w:rPr>
          <w:sz w:val="26"/>
        </w:rPr>
        <w:tab/>
        <w:t xml:space="preserve">Projected </w:t>
      </w:r>
      <w:r w:rsidR="00626EBD" w:rsidRPr="00A92953">
        <w:rPr>
          <w:sz w:val="26"/>
        </w:rPr>
        <w:t>20</w:t>
      </w:r>
      <w:r w:rsidR="00626EBD">
        <w:rPr>
          <w:sz w:val="26"/>
        </w:rPr>
        <w:t>22</w:t>
      </w:r>
      <w:r w:rsidR="00626EBD" w:rsidRPr="00A92953">
        <w:rPr>
          <w:sz w:val="26"/>
        </w:rPr>
        <w:t xml:space="preserve"> </w:t>
      </w:r>
      <w:r w:rsidRPr="00A92953">
        <w:rPr>
          <w:sz w:val="26"/>
        </w:rPr>
        <w:t>annual administration and audit fees = $</w:t>
      </w:r>
      <w:r>
        <w:rPr>
          <w:sz w:val="26"/>
        </w:rPr>
        <w:t>1</w:t>
      </w:r>
      <w:r w:rsidR="001B52C8">
        <w:rPr>
          <w:sz w:val="26"/>
        </w:rPr>
        <w:t>87,100</w:t>
      </w:r>
      <w:r>
        <w:rPr>
          <w:sz w:val="26"/>
        </w:rPr>
        <w:t>.00</w:t>
      </w:r>
      <w:r w:rsidRPr="00A92953">
        <w:rPr>
          <w:sz w:val="26"/>
          <w:vertAlign w:val="superscript"/>
        </w:rPr>
        <w:footnoteReference w:id="9"/>
      </w:r>
    </w:p>
    <w:p w14:paraId="7A51C259" w14:textId="5C80D08B" w:rsidR="00C00315" w:rsidRPr="00A92953" w:rsidRDefault="00C00315" w:rsidP="00C00315">
      <w:pPr>
        <w:ind w:left="1440" w:right="720" w:hanging="720"/>
        <w:rPr>
          <w:sz w:val="26"/>
        </w:rPr>
      </w:pPr>
      <w:r w:rsidRPr="00A92953">
        <w:rPr>
          <w:sz w:val="26"/>
        </w:rPr>
        <w:t>5.</w:t>
      </w:r>
      <w:r w:rsidRPr="00A92953">
        <w:rPr>
          <w:sz w:val="26"/>
        </w:rPr>
        <w:tab/>
        <w:t xml:space="preserve">Projected </w:t>
      </w:r>
      <w:r w:rsidR="00626EBD" w:rsidRPr="00A92953">
        <w:rPr>
          <w:sz w:val="26"/>
        </w:rPr>
        <w:t>20</w:t>
      </w:r>
      <w:r w:rsidR="00626EBD">
        <w:rPr>
          <w:sz w:val="26"/>
        </w:rPr>
        <w:t xml:space="preserve">22 </w:t>
      </w:r>
      <w:r>
        <w:rPr>
          <w:sz w:val="26"/>
        </w:rPr>
        <w:t>5%</w:t>
      </w:r>
      <w:r w:rsidRPr="00A92953">
        <w:rPr>
          <w:sz w:val="26"/>
        </w:rPr>
        <w:t xml:space="preserve"> allowance for </w:t>
      </w:r>
      <w:proofErr w:type="spellStart"/>
      <w:r w:rsidRPr="00A92953">
        <w:rPr>
          <w:sz w:val="26"/>
        </w:rPr>
        <w:t>uncollectibles</w:t>
      </w:r>
      <w:proofErr w:type="spellEnd"/>
      <w:r w:rsidRPr="00A92953">
        <w:rPr>
          <w:sz w:val="26"/>
        </w:rPr>
        <w:t xml:space="preserve"> = $</w:t>
      </w:r>
      <w:r>
        <w:rPr>
          <w:sz w:val="26"/>
        </w:rPr>
        <w:t>1,</w:t>
      </w:r>
      <w:r w:rsidR="003D1BF2">
        <w:rPr>
          <w:sz w:val="26"/>
        </w:rPr>
        <w:t>575,525.68</w:t>
      </w:r>
      <w:r w:rsidRPr="00A92953">
        <w:rPr>
          <w:sz w:val="26"/>
          <w:vertAlign w:val="superscript"/>
        </w:rPr>
        <w:footnoteReference w:id="10"/>
      </w:r>
    </w:p>
    <w:p w14:paraId="2D99CED0" w14:textId="60D77B2C" w:rsidR="00C00315" w:rsidRPr="00A92953" w:rsidRDefault="00C00315" w:rsidP="00C00315">
      <w:pPr>
        <w:ind w:left="1440" w:hanging="720"/>
        <w:rPr>
          <w:sz w:val="26"/>
        </w:rPr>
      </w:pPr>
      <w:r w:rsidRPr="00A92953">
        <w:rPr>
          <w:sz w:val="26"/>
        </w:rPr>
        <w:t>6.</w:t>
      </w:r>
      <w:r w:rsidRPr="00A92953">
        <w:rPr>
          <w:sz w:val="26"/>
        </w:rPr>
        <w:tab/>
        <w:t xml:space="preserve">Projected </w:t>
      </w:r>
      <w:r w:rsidR="00626EBD">
        <w:rPr>
          <w:sz w:val="26"/>
        </w:rPr>
        <w:t>2022</w:t>
      </w:r>
      <w:r w:rsidR="00626EBD" w:rsidRPr="00A92953">
        <w:rPr>
          <w:sz w:val="26"/>
        </w:rPr>
        <w:t xml:space="preserve"> </w:t>
      </w:r>
      <w:r w:rsidRPr="00A92953">
        <w:rPr>
          <w:sz w:val="26"/>
        </w:rPr>
        <w:t>total annual fund size = $</w:t>
      </w:r>
      <w:r>
        <w:rPr>
          <w:sz w:val="26"/>
        </w:rPr>
        <w:t>3</w:t>
      </w:r>
      <w:r w:rsidR="003D1BF2">
        <w:rPr>
          <w:sz w:val="26"/>
        </w:rPr>
        <w:t>3,273,139.36</w:t>
      </w:r>
    </w:p>
    <w:p w14:paraId="009FCC6C" w14:textId="77777777" w:rsidR="00C00315" w:rsidRPr="00A92953" w:rsidRDefault="00C00315" w:rsidP="00C00315">
      <w:pPr>
        <w:ind w:left="1440" w:hanging="720"/>
        <w:rPr>
          <w:sz w:val="26"/>
        </w:rPr>
      </w:pPr>
      <w:r w:rsidRPr="00A92953">
        <w:rPr>
          <w:sz w:val="26"/>
        </w:rPr>
        <w:tab/>
        <w:t>[(Line 3 + Line 4 + Line 5 – Line 2)]</w:t>
      </w:r>
    </w:p>
    <w:p w14:paraId="0D71E9F5" w14:textId="68771E2B" w:rsidR="00C00315" w:rsidRPr="00A92953" w:rsidRDefault="00C00315" w:rsidP="00C00315">
      <w:pPr>
        <w:ind w:left="1440" w:right="720" w:hanging="720"/>
        <w:rPr>
          <w:sz w:val="26"/>
        </w:rPr>
      </w:pPr>
      <w:r w:rsidRPr="00A92953">
        <w:rPr>
          <w:sz w:val="26"/>
        </w:rPr>
        <w:t>7.</w:t>
      </w:r>
      <w:bookmarkStart w:id="5" w:name="_Hlk23229696"/>
      <w:r w:rsidRPr="00A92953">
        <w:rPr>
          <w:sz w:val="26"/>
        </w:rPr>
        <w:tab/>
        <w:t xml:space="preserve">Reported </w:t>
      </w:r>
      <w:r w:rsidR="00626EBD" w:rsidRPr="00A92953">
        <w:rPr>
          <w:sz w:val="26"/>
        </w:rPr>
        <w:t>20</w:t>
      </w:r>
      <w:r w:rsidR="00626EBD">
        <w:rPr>
          <w:sz w:val="26"/>
        </w:rPr>
        <w:t>20</w:t>
      </w:r>
      <w:r w:rsidR="00626EBD" w:rsidRPr="00A92953">
        <w:rPr>
          <w:sz w:val="26"/>
        </w:rPr>
        <w:t xml:space="preserve"> </w:t>
      </w:r>
      <w:r w:rsidRPr="00A92953">
        <w:rPr>
          <w:sz w:val="26"/>
        </w:rPr>
        <w:t>intrastate</w:t>
      </w:r>
      <w:r>
        <w:rPr>
          <w:sz w:val="26"/>
        </w:rPr>
        <w:t xml:space="preserve"> end-user</w:t>
      </w:r>
      <w:r w:rsidRPr="00A92953">
        <w:rPr>
          <w:sz w:val="26"/>
        </w:rPr>
        <w:t xml:space="preserve"> retail revenues = $</w:t>
      </w:r>
      <w:r>
        <w:rPr>
          <w:sz w:val="26"/>
        </w:rPr>
        <w:t>1,5</w:t>
      </w:r>
      <w:bookmarkEnd w:id="5"/>
      <w:r w:rsidR="003D1BF2">
        <w:rPr>
          <w:sz w:val="26"/>
        </w:rPr>
        <w:t>65,419,656.99</w:t>
      </w:r>
    </w:p>
    <w:p w14:paraId="6629219D" w14:textId="7CEFE641" w:rsidR="00C00315" w:rsidRPr="009775DC" w:rsidRDefault="00C00315" w:rsidP="00C00315">
      <w:pPr>
        <w:ind w:left="1440" w:right="720" w:hanging="720"/>
        <w:rPr>
          <w:sz w:val="26"/>
        </w:rPr>
      </w:pPr>
      <w:r w:rsidRPr="00A92953">
        <w:rPr>
          <w:sz w:val="26"/>
        </w:rPr>
        <w:t>8.</w:t>
      </w:r>
      <w:r w:rsidRPr="00A92953">
        <w:rPr>
          <w:sz w:val="26"/>
        </w:rPr>
        <w:tab/>
      </w:r>
      <w:r>
        <w:rPr>
          <w:sz w:val="26"/>
        </w:rPr>
        <w:t xml:space="preserve">Recommended </w:t>
      </w:r>
      <w:r w:rsidR="00626EBD">
        <w:rPr>
          <w:sz w:val="26"/>
        </w:rPr>
        <w:t xml:space="preserve">2022 </w:t>
      </w:r>
      <w:r>
        <w:rPr>
          <w:sz w:val="26"/>
        </w:rPr>
        <w:t>Assessment Rate = $3</w:t>
      </w:r>
      <w:r w:rsidR="003D1BF2">
        <w:rPr>
          <w:sz w:val="26"/>
        </w:rPr>
        <w:t>3</w:t>
      </w:r>
      <w:r>
        <w:rPr>
          <w:sz w:val="26"/>
        </w:rPr>
        <w:t>,</w:t>
      </w:r>
      <w:r w:rsidR="003D1BF2">
        <w:rPr>
          <w:sz w:val="26"/>
        </w:rPr>
        <w:t>273</w:t>
      </w:r>
      <w:r>
        <w:rPr>
          <w:sz w:val="26"/>
        </w:rPr>
        <w:t>,</w:t>
      </w:r>
      <w:r w:rsidR="003D1BF2">
        <w:rPr>
          <w:sz w:val="26"/>
        </w:rPr>
        <w:t>139</w:t>
      </w:r>
      <w:r>
        <w:rPr>
          <w:sz w:val="26"/>
        </w:rPr>
        <w:t>.</w:t>
      </w:r>
      <w:r w:rsidR="003D1BF2">
        <w:rPr>
          <w:sz w:val="26"/>
        </w:rPr>
        <w:t>3</w:t>
      </w:r>
      <w:r>
        <w:rPr>
          <w:sz w:val="26"/>
        </w:rPr>
        <w:t>6/$1,5</w:t>
      </w:r>
      <w:r w:rsidR="003D1BF2">
        <w:rPr>
          <w:sz w:val="26"/>
        </w:rPr>
        <w:t>65</w:t>
      </w:r>
      <w:r>
        <w:rPr>
          <w:sz w:val="26"/>
        </w:rPr>
        <w:t>,</w:t>
      </w:r>
      <w:r w:rsidR="003D1BF2">
        <w:rPr>
          <w:sz w:val="26"/>
        </w:rPr>
        <w:t>419</w:t>
      </w:r>
      <w:r>
        <w:rPr>
          <w:sz w:val="26"/>
        </w:rPr>
        <w:t>,</w:t>
      </w:r>
      <w:r w:rsidR="003D1BF2">
        <w:rPr>
          <w:sz w:val="26"/>
        </w:rPr>
        <w:t>656</w:t>
      </w:r>
      <w:r>
        <w:rPr>
          <w:sz w:val="26"/>
        </w:rPr>
        <w:t>.</w:t>
      </w:r>
      <w:r w:rsidR="003D1BF2">
        <w:rPr>
          <w:sz w:val="26"/>
        </w:rPr>
        <w:t>99</w:t>
      </w:r>
      <w:r>
        <w:rPr>
          <w:sz w:val="26"/>
        </w:rPr>
        <w:t xml:space="preserve"> = </w:t>
      </w:r>
      <w:r w:rsidRPr="009775DC">
        <w:rPr>
          <w:b/>
          <w:sz w:val="26"/>
          <w:u w:val="single"/>
        </w:rPr>
        <w:t>0.0</w:t>
      </w:r>
      <w:r>
        <w:rPr>
          <w:b/>
          <w:sz w:val="26"/>
          <w:u w:val="single"/>
        </w:rPr>
        <w:t>21</w:t>
      </w:r>
      <w:r w:rsidR="003D1BF2">
        <w:rPr>
          <w:b/>
          <w:sz w:val="26"/>
          <w:u w:val="single"/>
        </w:rPr>
        <w:t>255092</w:t>
      </w:r>
    </w:p>
    <w:p w14:paraId="52FB5F8F" w14:textId="77777777" w:rsidR="00C00315" w:rsidRPr="008E17C9" w:rsidRDefault="00C00315" w:rsidP="00C00315">
      <w:pPr>
        <w:spacing w:line="360" w:lineRule="auto"/>
        <w:rPr>
          <w:bCs/>
          <w:sz w:val="26"/>
        </w:rPr>
      </w:pPr>
    </w:p>
    <w:p w14:paraId="743668E0" w14:textId="4BCF42DC" w:rsidR="00EB65DD" w:rsidRDefault="00077003" w:rsidP="00077003">
      <w:pPr>
        <w:keepNext/>
        <w:keepLines/>
        <w:ind w:left="720" w:hanging="720"/>
        <w:rPr>
          <w:b/>
          <w:sz w:val="26"/>
        </w:rPr>
      </w:pPr>
      <w:r>
        <w:rPr>
          <w:b/>
          <w:sz w:val="26"/>
        </w:rPr>
        <w:lastRenderedPageBreak/>
        <w:t>6</w:t>
      </w:r>
      <w:r w:rsidR="009E35CC">
        <w:rPr>
          <w:b/>
          <w:sz w:val="26"/>
        </w:rPr>
        <w:t>.</w:t>
      </w:r>
      <w:r w:rsidR="009E35CC">
        <w:rPr>
          <w:b/>
          <w:sz w:val="26"/>
        </w:rPr>
        <w:tab/>
      </w:r>
      <w:r w:rsidR="00C35EF1">
        <w:rPr>
          <w:b/>
          <w:sz w:val="26"/>
        </w:rPr>
        <w:t xml:space="preserve">Obligation to </w:t>
      </w:r>
      <w:r w:rsidR="00EB65DD">
        <w:rPr>
          <w:b/>
          <w:sz w:val="26"/>
        </w:rPr>
        <w:t>Report</w:t>
      </w:r>
      <w:r w:rsidR="00C35EF1">
        <w:rPr>
          <w:b/>
          <w:sz w:val="26"/>
        </w:rPr>
        <w:t xml:space="preserve"> Total Gross </w:t>
      </w:r>
      <w:r w:rsidR="00EB65DD">
        <w:rPr>
          <w:b/>
          <w:sz w:val="26"/>
        </w:rPr>
        <w:t xml:space="preserve">Intrastate VoIP Revenues for </w:t>
      </w:r>
      <w:proofErr w:type="spellStart"/>
      <w:r w:rsidR="00EB65DD">
        <w:rPr>
          <w:b/>
          <w:sz w:val="26"/>
        </w:rPr>
        <w:t>PaUSF</w:t>
      </w:r>
      <w:proofErr w:type="spellEnd"/>
      <w:r w:rsidR="00EB65DD">
        <w:rPr>
          <w:b/>
          <w:sz w:val="26"/>
        </w:rPr>
        <w:t xml:space="preserve"> Assessment Purposes</w:t>
      </w:r>
    </w:p>
    <w:p w14:paraId="3AB341A3" w14:textId="77777777" w:rsidR="00C35EF1" w:rsidRDefault="00C35EF1" w:rsidP="00077003">
      <w:pPr>
        <w:keepNext/>
        <w:keepLines/>
        <w:ind w:left="720" w:hanging="720"/>
        <w:rPr>
          <w:b/>
          <w:sz w:val="26"/>
        </w:rPr>
      </w:pPr>
    </w:p>
    <w:p w14:paraId="66BFCCC0" w14:textId="65390A45" w:rsidR="00EB65DD" w:rsidRDefault="00A51FDB" w:rsidP="0037799E">
      <w:pPr>
        <w:keepNext/>
        <w:keepLines/>
        <w:spacing w:line="360" w:lineRule="auto"/>
        <w:ind w:firstLine="720"/>
        <w:rPr>
          <w:bCs/>
          <w:sz w:val="26"/>
        </w:rPr>
      </w:pPr>
      <w:r>
        <w:rPr>
          <w:bCs/>
          <w:sz w:val="26"/>
        </w:rPr>
        <w:t xml:space="preserve">The VoIP Freedom Act preserves the Commission’s jurisdiction over interconnected VoIP services for, among other things, </w:t>
      </w:r>
      <w:proofErr w:type="spellStart"/>
      <w:r>
        <w:rPr>
          <w:bCs/>
          <w:sz w:val="26"/>
        </w:rPr>
        <w:t>PaUSF</w:t>
      </w:r>
      <w:proofErr w:type="spellEnd"/>
      <w:r>
        <w:rPr>
          <w:bCs/>
          <w:sz w:val="26"/>
        </w:rPr>
        <w:t xml:space="preserve"> purposes.  73 P.S. § 2251.6(1)(iii).  In prior assessment years some carriers have voluntarily provided intrastate VoIP revenues when annually submitting their completed Development of Assessment Data Request; however, this practice has not been universal.  </w:t>
      </w:r>
      <w:r w:rsidR="00E84A2B">
        <w:rPr>
          <w:bCs/>
          <w:sz w:val="26"/>
        </w:rPr>
        <w:t>T</w:t>
      </w:r>
      <w:r>
        <w:rPr>
          <w:bCs/>
          <w:sz w:val="26"/>
        </w:rPr>
        <w:t xml:space="preserve">he Commission has determined that the inclusion of intrastate VoIP revenues is in the public interest and is consistent with its </w:t>
      </w:r>
      <w:r w:rsidR="00E84A2B">
        <w:rPr>
          <w:bCs/>
          <w:sz w:val="26"/>
        </w:rPr>
        <w:t xml:space="preserve">preserved </w:t>
      </w:r>
      <w:r>
        <w:rPr>
          <w:bCs/>
          <w:sz w:val="26"/>
        </w:rPr>
        <w:t xml:space="preserve">authority under the </w:t>
      </w:r>
      <w:r w:rsidR="00E84A2B">
        <w:rPr>
          <w:bCs/>
          <w:sz w:val="26"/>
        </w:rPr>
        <w:t xml:space="preserve">VoIP Freedom </w:t>
      </w:r>
      <w:r>
        <w:rPr>
          <w:bCs/>
          <w:sz w:val="26"/>
        </w:rPr>
        <w:t xml:space="preserve">Act.  Accordingly, </w:t>
      </w:r>
      <w:bookmarkStart w:id="6" w:name="_Hlk88639857"/>
      <w:r>
        <w:rPr>
          <w:bCs/>
          <w:sz w:val="26"/>
        </w:rPr>
        <w:t>t</w:t>
      </w:r>
      <w:r w:rsidR="005F7560">
        <w:rPr>
          <w:bCs/>
          <w:sz w:val="26"/>
        </w:rPr>
        <w:t>he Commission directs all currently certificated telecommunications</w:t>
      </w:r>
      <w:r w:rsidR="00BB42B0">
        <w:rPr>
          <w:bCs/>
          <w:sz w:val="26"/>
        </w:rPr>
        <w:t xml:space="preserve"> carriers</w:t>
      </w:r>
      <w:r w:rsidR="005F7560">
        <w:rPr>
          <w:bCs/>
          <w:sz w:val="26"/>
        </w:rPr>
        <w:t xml:space="preserve"> in the Commonwealth to begin reporting their </w:t>
      </w:r>
      <w:r w:rsidR="00E84A2B">
        <w:rPr>
          <w:bCs/>
          <w:sz w:val="26"/>
        </w:rPr>
        <w:t xml:space="preserve">total gross </w:t>
      </w:r>
      <w:r w:rsidR="005F7560">
        <w:rPr>
          <w:bCs/>
          <w:sz w:val="26"/>
        </w:rPr>
        <w:t xml:space="preserve">intrastate VoIP revenues for </w:t>
      </w:r>
      <w:proofErr w:type="spellStart"/>
      <w:r w:rsidR="005F7560">
        <w:rPr>
          <w:bCs/>
          <w:sz w:val="26"/>
        </w:rPr>
        <w:t>PaUSF</w:t>
      </w:r>
      <w:proofErr w:type="spellEnd"/>
      <w:r w:rsidR="005F7560">
        <w:rPr>
          <w:bCs/>
          <w:sz w:val="26"/>
        </w:rPr>
        <w:t xml:space="preserve"> assessment purposes</w:t>
      </w:r>
      <w:bookmarkEnd w:id="6"/>
      <w:r w:rsidR="005F7560">
        <w:rPr>
          <w:bCs/>
          <w:sz w:val="26"/>
        </w:rPr>
        <w:t xml:space="preserve">.  </w:t>
      </w:r>
    </w:p>
    <w:p w14:paraId="15971973" w14:textId="77777777" w:rsidR="00BB42B0" w:rsidRDefault="00BB42B0" w:rsidP="0020558C">
      <w:pPr>
        <w:spacing w:line="360" w:lineRule="auto"/>
        <w:ind w:firstLine="720"/>
        <w:rPr>
          <w:bCs/>
          <w:sz w:val="26"/>
        </w:rPr>
      </w:pPr>
    </w:p>
    <w:p w14:paraId="16E8FB4C" w14:textId="5053A461" w:rsidR="00BB42B0" w:rsidRDefault="00BB42B0" w:rsidP="0020558C">
      <w:pPr>
        <w:spacing w:line="360" w:lineRule="auto"/>
        <w:ind w:firstLine="720"/>
        <w:rPr>
          <w:bCs/>
          <w:sz w:val="26"/>
        </w:rPr>
      </w:pPr>
      <w:r>
        <w:rPr>
          <w:bCs/>
          <w:sz w:val="26"/>
        </w:rPr>
        <w:t xml:space="preserve">In order to facilitate this directive, </w:t>
      </w:r>
      <w:r w:rsidR="00793956">
        <w:rPr>
          <w:bCs/>
          <w:sz w:val="26"/>
        </w:rPr>
        <w:t>VPS</w:t>
      </w:r>
      <w:r>
        <w:rPr>
          <w:bCs/>
          <w:sz w:val="26"/>
        </w:rPr>
        <w:t xml:space="preserve"> will work with </w:t>
      </w:r>
      <w:r w:rsidR="001A5073">
        <w:rPr>
          <w:bCs/>
          <w:sz w:val="26"/>
        </w:rPr>
        <w:t xml:space="preserve">the </w:t>
      </w:r>
      <w:r>
        <w:rPr>
          <w:bCs/>
          <w:sz w:val="26"/>
        </w:rPr>
        <w:t>Commission</w:t>
      </w:r>
      <w:r w:rsidR="001A5073">
        <w:rPr>
          <w:bCs/>
          <w:sz w:val="26"/>
        </w:rPr>
        <w:t xml:space="preserve"> to amend the Development of Assessment Data Request form to provide for the inclusion of </w:t>
      </w:r>
      <w:r w:rsidR="00E84A2B">
        <w:rPr>
          <w:bCs/>
          <w:sz w:val="26"/>
        </w:rPr>
        <w:t xml:space="preserve">total gross </w:t>
      </w:r>
      <w:r w:rsidR="001A5073">
        <w:rPr>
          <w:bCs/>
          <w:sz w:val="26"/>
        </w:rPr>
        <w:t xml:space="preserve">intrastate VoIP revenues by </w:t>
      </w:r>
      <w:r w:rsidR="00E84A2B">
        <w:rPr>
          <w:bCs/>
          <w:sz w:val="26"/>
        </w:rPr>
        <w:t xml:space="preserve">our contributing </w:t>
      </w:r>
      <w:r w:rsidR="001A5073">
        <w:rPr>
          <w:bCs/>
          <w:sz w:val="26"/>
        </w:rPr>
        <w:t>certificated telecommunications carriers.</w:t>
      </w:r>
    </w:p>
    <w:p w14:paraId="7C1BFE52" w14:textId="7D4808FB" w:rsidR="001A5073" w:rsidRDefault="001A5073" w:rsidP="0020558C">
      <w:pPr>
        <w:spacing w:line="360" w:lineRule="auto"/>
        <w:ind w:firstLine="720"/>
        <w:rPr>
          <w:bCs/>
          <w:sz w:val="26"/>
        </w:rPr>
      </w:pPr>
    </w:p>
    <w:p w14:paraId="58F391D9" w14:textId="59CCC680" w:rsidR="00A51FDB" w:rsidRDefault="00F31D88" w:rsidP="00A51FDB">
      <w:pPr>
        <w:ind w:left="720" w:hanging="720"/>
        <w:rPr>
          <w:sz w:val="26"/>
        </w:rPr>
      </w:pPr>
      <w:r>
        <w:rPr>
          <w:b/>
          <w:bCs/>
          <w:sz w:val="26"/>
        </w:rPr>
        <w:t>7</w:t>
      </w:r>
      <w:r w:rsidR="00A51FDB">
        <w:rPr>
          <w:b/>
          <w:bCs/>
          <w:sz w:val="26"/>
        </w:rPr>
        <w:t>.</w:t>
      </w:r>
      <w:r w:rsidR="00A51FDB">
        <w:rPr>
          <w:b/>
          <w:bCs/>
          <w:sz w:val="26"/>
        </w:rPr>
        <w:tab/>
        <w:t xml:space="preserve">Provide a </w:t>
      </w:r>
      <w:r w:rsidR="00E84A2B">
        <w:rPr>
          <w:b/>
          <w:bCs/>
          <w:sz w:val="26"/>
        </w:rPr>
        <w:t xml:space="preserve">mechanism </w:t>
      </w:r>
      <w:r w:rsidR="00A51FDB">
        <w:rPr>
          <w:b/>
          <w:bCs/>
          <w:sz w:val="26"/>
        </w:rPr>
        <w:t xml:space="preserve">system </w:t>
      </w:r>
      <w:r w:rsidR="00E84A2B" w:rsidRPr="00E84A2B">
        <w:rPr>
          <w:b/>
          <w:bCs/>
          <w:sz w:val="26"/>
        </w:rPr>
        <w:t>so that VPS may track the contributions of uncertificated</w:t>
      </w:r>
      <w:r w:rsidR="00A51FDB" w:rsidRPr="00E84A2B">
        <w:rPr>
          <w:b/>
          <w:bCs/>
          <w:sz w:val="26"/>
        </w:rPr>
        <w:t xml:space="preserve"> </w:t>
      </w:r>
      <w:r w:rsidR="00A51FDB">
        <w:rPr>
          <w:b/>
          <w:bCs/>
          <w:sz w:val="26"/>
        </w:rPr>
        <w:t>Voice over Internet Protocol (VoIP) Providers that participate in the Fund</w:t>
      </w:r>
    </w:p>
    <w:p w14:paraId="11749F57" w14:textId="77777777" w:rsidR="00F033D7" w:rsidRDefault="00F033D7" w:rsidP="00A51FDB">
      <w:pPr>
        <w:spacing w:line="360" w:lineRule="auto"/>
        <w:ind w:firstLine="720"/>
        <w:rPr>
          <w:sz w:val="26"/>
        </w:rPr>
      </w:pPr>
    </w:p>
    <w:p w14:paraId="5121E609" w14:textId="009D333D" w:rsidR="000B6EDB" w:rsidRDefault="0092202D" w:rsidP="002D3457">
      <w:pPr>
        <w:spacing w:line="360" w:lineRule="auto"/>
        <w:ind w:firstLine="720"/>
        <w:rPr>
          <w:sz w:val="26"/>
        </w:rPr>
      </w:pPr>
      <w:r>
        <w:rPr>
          <w:sz w:val="26"/>
        </w:rPr>
        <w:t xml:space="preserve">VPS requests the Commission adopt or establish a system to allow it </w:t>
      </w:r>
      <w:r w:rsidRPr="00702EB5">
        <w:rPr>
          <w:sz w:val="26"/>
        </w:rPr>
        <w:t xml:space="preserve">to fulfill </w:t>
      </w:r>
      <w:r>
        <w:rPr>
          <w:sz w:val="26"/>
        </w:rPr>
        <w:t xml:space="preserve">its </w:t>
      </w:r>
      <w:r w:rsidRPr="00702EB5">
        <w:rPr>
          <w:sz w:val="26"/>
        </w:rPr>
        <w:t xml:space="preserve">administrative </w:t>
      </w:r>
      <w:r>
        <w:rPr>
          <w:sz w:val="26"/>
        </w:rPr>
        <w:t>function of t</w:t>
      </w:r>
      <w:r w:rsidRPr="00702EB5">
        <w:rPr>
          <w:sz w:val="26"/>
        </w:rPr>
        <w:t xml:space="preserve">racking </w:t>
      </w:r>
      <w:r>
        <w:rPr>
          <w:sz w:val="26"/>
        </w:rPr>
        <w:t xml:space="preserve">the contributions of any </w:t>
      </w:r>
      <w:r w:rsidRPr="00702EB5">
        <w:rPr>
          <w:sz w:val="26"/>
        </w:rPr>
        <w:t>VoIP service</w:t>
      </w:r>
      <w:r>
        <w:rPr>
          <w:sz w:val="26"/>
        </w:rPr>
        <w:t>s</w:t>
      </w:r>
      <w:r w:rsidRPr="00702EB5">
        <w:rPr>
          <w:sz w:val="26"/>
        </w:rPr>
        <w:t xml:space="preserve"> provider and/or wireless provider</w:t>
      </w:r>
      <w:r>
        <w:rPr>
          <w:sz w:val="26"/>
        </w:rPr>
        <w:t xml:space="preserve"> that participates and contributes to the Fund.</w:t>
      </w:r>
      <w:r w:rsidRPr="00702EB5">
        <w:rPr>
          <w:sz w:val="26"/>
        </w:rPr>
        <w:t xml:space="preserve"> </w:t>
      </w:r>
      <w:r>
        <w:rPr>
          <w:sz w:val="26"/>
        </w:rPr>
        <w:t xml:space="preserve"> </w:t>
      </w:r>
      <w:r w:rsidR="00A51FDB">
        <w:rPr>
          <w:sz w:val="26"/>
        </w:rPr>
        <w:t xml:space="preserve">As VPS notes in the Administrator’s Report, historically it has used a carrier’s </w:t>
      </w:r>
      <w:r w:rsidR="007E707C">
        <w:rPr>
          <w:sz w:val="26"/>
        </w:rPr>
        <w:t xml:space="preserve">unique </w:t>
      </w:r>
      <w:r w:rsidR="00A51FDB">
        <w:rPr>
          <w:sz w:val="26"/>
        </w:rPr>
        <w:t xml:space="preserve">utility code </w:t>
      </w:r>
      <w:r w:rsidR="007E707C">
        <w:rPr>
          <w:sz w:val="26"/>
        </w:rPr>
        <w:t xml:space="preserve">assigned by the Commission </w:t>
      </w:r>
      <w:r w:rsidR="00A51FDB">
        <w:rPr>
          <w:sz w:val="26"/>
        </w:rPr>
        <w:t xml:space="preserve">as its means to track a carrier’s contributions to the </w:t>
      </w:r>
      <w:proofErr w:type="spellStart"/>
      <w:r w:rsidR="00A51FDB">
        <w:rPr>
          <w:sz w:val="26"/>
        </w:rPr>
        <w:t>PaUSF</w:t>
      </w:r>
      <w:proofErr w:type="spellEnd"/>
      <w:r w:rsidR="00A51FDB">
        <w:rPr>
          <w:sz w:val="26"/>
        </w:rPr>
        <w:t xml:space="preserve">.  </w:t>
      </w:r>
      <w:r w:rsidR="00871621">
        <w:rPr>
          <w:sz w:val="26"/>
        </w:rPr>
        <w:t xml:space="preserve">It is true that </w:t>
      </w:r>
      <w:r w:rsidR="00A51FDB">
        <w:rPr>
          <w:sz w:val="26"/>
        </w:rPr>
        <w:t>interconnected VoIP services providers like Via</w:t>
      </w:r>
      <w:r w:rsidR="00E974C8">
        <w:rPr>
          <w:sz w:val="26"/>
        </w:rPr>
        <w:t>S</w:t>
      </w:r>
      <w:r w:rsidR="00A51FDB">
        <w:rPr>
          <w:sz w:val="26"/>
        </w:rPr>
        <w:t>at</w:t>
      </w:r>
      <w:r w:rsidR="00E974C8">
        <w:rPr>
          <w:sz w:val="26"/>
        </w:rPr>
        <w:t xml:space="preserve"> Carrier Services, Inc.</w:t>
      </w:r>
      <w:r w:rsidR="001A3DED">
        <w:rPr>
          <w:sz w:val="26"/>
        </w:rPr>
        <w:t xml:space="preserve"> (ViaSat)</w:t>
      </w:r>
      <w:r w:rsidR="001A3DED">
        <w:rPr>
          <w:rStyle w:val="FootnoteReference"/>
          <w:sz w:val="26"/>
        </w:rPr>
        <w:footnoteReference w:id="11"/>
      </w:r>
      <w:r w:rsidR="00A51FDB">
        <w:rPr>
          <w:sz w:val="26"/>
        </w:rPr>
        <w:t xml:space="preserve"> </w:t>
      </w:r>
      <w:r w:rsidR="00E159D7">
        <w:rPr>
          <w:sz w:val="26"/>
        </w:rPr>
        <w:lastRenderedPageBreak/>
        <w:t>were</w:t>
      </w:r>
      <w:r w:rsidR="00A51FDB">
        <w:rPr>
          <w:sz w:val="26"/>
        </w:rPr>
        <w:t xml:space="preserve"> not assigned utility codes by the Commission because they ha</w:t>
      </w:r>
      <w:r w:rsidR="00225FD0">
        <w:rPr>
          <w:sz w:val="26"/>
        </w:rPr>
        <w:t>d</w:t>
      </w:r>
      <w:r w:rsidR="00A51FDB">
        <w:rPr>
          <w:sz w:val="26"/>
        </w:rPr>
        <w:t xml:space="preserve"> not obtained a certificate of public convenience from the Commission in accordance with the Commission’s certification process under 66 </w:t>
      </w:r>
      <w:proofErr w:type="spellStart"/>
      <w:r w:rsidR="00A51FDB">
        <w:rPr>
          <w:sz w:val="26"/>
        </w:rPr>
        <w:t>Pa.C.S</w:t>
      </w:r>
      <w:proofErr w:type="spellEnd"/>
      <w:r w:rsidR="00A51FDB">
        <w:rPr>
          <w:sz w:val="26"/>
        </w:rPr>
        <w:t>. §§ 1101 and 1103.</w:t>
      </w:r>
      <w:r w:rsidR="005C7BA1">
        <w:rPr>
          <w:rStyle w:val="FootnoteReference"/>
          <w:sz w:val="26"/>
        </w:rPr>
        <w:footnoteReference w:id="12"/>
      </w:r>
      <w:r w:rsidR="00A51FDB">
        <w:rPr>
          <w:sz w:val="26"/>
        </w:rPr>
        <w:t xml:space="preserve">  The Commission notes that it is in the process of addressing </w:t>
      </w:r>
      <w:r w:rsidR="00C93F97">
        <w:rPr>
          <w:sz w:val="26"/>
        </w:rPr>
        <w:t>this</w:t>
      </w:r>
      <w:r w:rsidR="00A51FDB">
        <w:rPr>
          <w:sz w:val="26"/>
        </w:rPr>
        <w:t xml:space="preserve"> issue </w:t>
      </w:r>
      <w:r w:rsidR="00C93F97">
        <w:rPr>
          <w:sz w:val="26"/>
        </w:rPr>
        <w:t>for</w:t>
      </w:r>
      <w:r w:rsidR="00A51FDB">
        <w:rPr>
          <w:sz w:val="26"/>
        </w:rPr>
        <w:t xml:space="preserve"> interconnected VoIP service </w:t>
      </w:r>
      <w:r w:rsidR="00A51FDB" w:rsidRPr="00636875">
        <w:rPr>
          <w:sz w:val="26"/>
        </w:rPr>
        <w:t>providers</w:t>
      </w:r>
      <w:r w:rsidR="00AB7F4D">
        <w:rPr>
          <w:sz w:val="26"/>
        </w:rPr>
        <w:t xml:space="preserve"> whom</w:t>
      </w:r>
      <w:r w:rsidR="00A51FDB">
        <w:rPr>
          <w:sz w:val="26"/>
        </w:rPr>
        <w:t xml:space="preserve">, like </w:t>
      </w:r>
      <w:r w:rsidR="00A51FDB" w:rsidRPr="00636875">
        <w:rPr>
          <w:sz w:val="26"/>
        </w:rPr>
        <w:t>ViaSat</w:t>
      </w:r>
      <w:r w:rsidR="00A51FDB">
        <w:rPr>
          <w:sz w:val="26"/>
        </w:rPr>
        <w:t xml:space="preserve">, may </w:t>
      </w:r>
      <w:r w:rsidR="00A51FDB" w:rsidRPr="00636875">
        <w:rPr>
          <w:sz w:val="26"/>
        </w:rPr>
        <w:t xml:space="preserve">not </w:t>
      </w:r>
      <w:r w:rsidR="00A51FDB">
        <w:rPr>
          <w:sz w:val="26"/>
        </w:rPr>
        <w:t xml:space="preserve">be </w:t>
      </w:r>
      <w:r w:rsidR="00A51FDB" w:rsidRPr="00636875">
        <w:rPr>
          <w:sz w:val="26"/>
        </w:rPr>
        <w:t>assigned a utility code</w:t>
      </w:r>
      <w:r w:rsidR="00A51FDB">
        <w:rPr>
          <w:sz w:val="26"/>
        </w:rPr>
        <w:t xml:space="preserve"> by the Commission which prevents VPS from tracking their contributions to the </w:t>
      </w:r>
      <w:proofErr w:type="spellStart"/>
      <w:r w:rsidR="00A51FDB">
        <w:rPr>
          <w:sz w:val="26"/>
        </w:rPr>
        <w:t>PaUSF</w:t>
      </w:r>
      <w:proofErr w:type="spellEnd"/>
      <w:r w:rsidR="00A51FDB">
        <w:rPr>
          <w:sz w:val="26"/>
        </w:rPr>
        <w:t xml:space="preserve"> as required by 73 P.S. § 2251.6(1)(iii)</w:t>
      </w:r>
      <w:r w:rsidR="00A51FDB" w:rsidRPr="00636875">
        <w:rPr>
          <w:sz w:val="26"/>
        </w:rPr>
        <w:t xml:space="preserve">.  </w:t>
      </w:r>
    </w:p>
    <w:p w14:paraId="619B654C" w14:textId="77777777" w:rsidR="000B6EDB" w:rsidRDefault="000B6EDB" w:rsidP="002D3457">
      <w:pPr>
        <w:spacing w:line="360" w:lineRule="auto"/>
        <w:ind w:firstLine="720"/>
        <w:rPr>
          <w:sz w:val="26"/>
        </w:rPr>
      </w:pPr>
    </w:p>
    <w:p w14:paraId="7E89B011" w14:textId="5B12436D" w:rsidR="00A51FDB" w:rsidRPr="00F42FD5" w:rsidRDefault="00A51FDB" w:rsidP="002D3457">
      <w:pPr>
        <w:spacing w:line="360" w:lineRule="auto"/>
        <w:ind w:firstLine="720"/>
        <w:rPr>
          <w:sz w:val="26"/>
        </w:rPr>
      </w:pPr>
      <w:r>
        <w:rPr>
          <w:sz w:val="26"/>
        </w:rPr>
        <w:t xml:space="preserve">In any event, the Commission acknowledges that </w:t>
      </w:r>
      <w:r w:rsidR="00C93F97">
        <w:rPr>
          <w:sz w:val="26"/>
        </w:rPr>
        <w:t xml:space="preserve">it is taking </w:t>
      </w:r>
      <w:proofErr w:type="gramStart"/>
      <w:r>
        <w:rPr>
          <w:sz w:val="26"/>
        </w:rPr>
        <w:t>steps  to</w:t>
      </w:r>
      <w:proofErr w:type="gramEnd"/>
      <w:r>
        <w:rPr>
          <w:sz w:val="26"/>
        </w:rPr>
        <w:t xml:space="preserve"> ensure that interconnected VoIP service providers that have not obtained a certificate of public convenience, but that have been granted an eligible telecommunications carrier (ETC) designation by the Commission, can be issued a “</w:t>
      </w:r>
      <w:r w:rsidR="0060403A">
        <w:rPr>
          <w:sz w:val="26"/>
        </w:rPr>
        <w:t>u</w:t>
      </w:r>
      <w:r>
        <w:rPr>
          <w:sz w:val="26"/>
        </w:rPr>
        <w:t xml:space="preserve">tility </w:t>
      </w:r>
      <w:r w:rsidR="0060403A">
        <w:rPr>
          <w:sz w:val="26"/>
        </w:rPr>
        <w:t>c</w:t>
      </w:r>
      <w:r>
        <w:rPr>
          <w:sz w:val="26"/>
        </w:rPr>
        <w:t xml:space="preserve">ode” for </w:t>
      </w:r>
      <w:proofErr w:type="spellStart"/>
      <w:r>
        <w:rPr>
          <w:sz w:val="26"/>
        </w:rPr>
        <w:t>PaUSF</w:t>
      </w:r>
      <w:proofErr w:type="spellEnd"/>
      <w:r>
        <w:rPr>
          <w:sz w:val="26"/>
        </w:rPr>
        <w:t xml:space="preserve"> purposes.  This action has become a necessity as interconnected VoIP service providers are increasingly obtaining ETC designations from the Commission in order to become eligible to receive federal universal service high</w:t>
      </w:r>
      <w:r>
        <w:rPr>
          <w:sz w:val="26"/>
        </w:rPr>
        <w:noBreakHyphen/>
        <w:t>cost support in order to provide voice and BIAS in certain eligible census blocks across the Commonwealth.  Thus,</w:t>
      </w:r>
      <w:r w:rsidR="008E4765">
        <w:rPr>
          <w:sz w:val="26"/>
        </w:rPr>
        <w:t xml:space="preserve"> </w:t>
      </w:r>
      <w:r>
        <w:rPr>
          <w:sz w:val="26"/>
        </w:rPr>
        <w:t xml:space="preserve">the Commission </w:t>
      </w:r>
      <w:r w:rsidR="00B1676C">
        <w:rPr>
          <w:sz w:val="26"/>
        </w:rPr>
        <w:t>is considering</w:t>
      </w:r>
      <w:r>
        <w:rPr>
          <w:sz w:val="26"/>
        </w:rPr>
        <w:t xml:space="preserve"> assign</w:t>
      </w:r>
      <w:r w:rsidR="00B1676C">
        <w:rPr>
          <w:sz w:val="26"/>
        </w:rPr>
        <w:t>ing</w:t>
      </w:r>
      <w:r>
        <w:rPr>
          <w:sz w:val="26"/>
        </w:rPr>
        <w:t xml:space="preserve"> these “utility codes” to </w:t>
      </w:r>
      <w:r w:rsidR="00E025B2">
        <w:rPr>
          <w:sz w:val="26"/>
        </w:rPr>
        <w:t>th</w:t>
      </w:r>
      <w:r w:rsidR="00A110DE">
        <w:rPr>
          <w:sz w:val="26"/>
        </w:rPr>
        <w:t>is</w:t>
      </w:r>
      <w:r w:rsidR="00E025B2">
        <w:rPr>
          <w:sz w:val="26"/>
        </w:rPr>
        <w:t xml:space="preserve"> subset of </w:t>
      </w:r>
      <w:r w:rsidR="00E025B2" w:rsidRPr="0035521C">
        <w:rPr>
          <w:i/>
          <w:iCs/>
          <w:sz w:val="26"/>
        </w:rPr>
        <w:t xml:space="preserve">uncertificated </w:t>
      </w:r>
      <w:r>
        <w:rPr>
          <w:sz w:val="26"/>
        </w:rPr>
        <w:t>interconnected VoIP service providers</w:t>
      </w:r>
      <w:r w:rsidR="00E97565">
        <w:rPr>
          <w:sz w:val="26"/>
        </w:rPr>
        <w:t>, which</w:t>
      </w:r>
      <w:r>
        <w:rPr>
          <w:sz w:val="26"/>
        </w:rPr>
        <w:t xml:space="preserve"> also </w:t>
      </w:r>
      <w:r w:rsidR="00E97565">
        <w:rPr>
          <w:sz w:val="26"/>
        </w:rPr>
        <w:t xml:space="preserve">would involve </w:t>
      </w:r>
      <w:r w:rsidR="00DD35AB">
        <w:rPr>
          <w:sz w:val="26"/>
        </w:rPr>
        <w:t>providing</w:t>
      </w:r>
      <w:r>
        <w:rPr>
          <w:sz w:val="26"/>
        </w:rPr>
        <w:t xml:space="preserve"> </w:t>
      </w:r>
      <w:r w:rsidR="00326CED" w:rsidRPr="00326CED">
        <w:rPr>
          <w:sz w:val="26"/>
        </w:rPr>
        <w:t>these assigned “utility codes</w:t>
      </w:r>
      <w:r w:rsidR="00326CED">
        <w:rPr>
          <w:sz w:val="26"/>
        </w:rPr>
        <w:t xml:space="preserve">” </w:t>
      </w:r>
      <w:r>
        <w:rPr>
          <w:sz w:val="26"/>
        </w:rPr>
        <w:t>to the Fund Administrator to enable the tracking of their contributions to the Fund.</w:t>
      </w:r>
    </w:p>
    <w:p w14:paraId="4F8D7F8A" w14:textId="77777777" w:rsidR="00A51FDB" w:rsidRPr="00541523" w:rsidRDefault="00A51FDB" w:rsidP="0020558C">
      <w:pPr>
        <w:spacing w:line="360" w:lineRule="auto"/>
        <w:ind w:firstLine="720"/>
        <w:rPr>
          <w:bCs/>
          <w:sz w:val="26"/>
        </w:rPr>
      </w:pPr>
    </w:p>
    <w:p w14:paraId="00A59971" w14:textId="5809E22A" w:rsidR="0020558C" w:rsidRDefault="00F31D88" w:rsidP="00D1042F">
      <w:pPr>
        <w:keepNext/>
        <w:keepLines/>
        <w:spacing w:line="360" w:lineRule="auto"/>
        <w:rPr>
          <w:b/>
          <w:sz w:val="26"/>
        </w:rPr>
      </w:pPr>
      <w:r>
        <w:rPr>
          <w:b/>
          <w:sz w:val="26"/>
        </w:rPr>
        <w:lastRenderedPageBreak/>
        <w:t>8</w:t>
      </w:r>
      <w:r w:rsidR="00EB65DD">
        <w:rPr>
          <w:b/>
          <w:sz w:val="26"/>
        </w:rPr>
        <w:t>.</w:t>
      </w:r>
      <w:r w:rsidR="00EB65DD">
        <w:rPr>
          <w:b/>
          <w:sz w:val="26"/>
        </w:rPr>
        <w:tab/>
      </w:r>
      <w:r w:rsidR="00C00315">
        <w:rPr>
          <w:b/>
          <w:sz w:val="26"/>
        </w:rPr>
        <w:t>Additional Administrative Guideline for the Fund</w:t>
      </w:r>
    </w:p>
    <w:p w14:paraId="2CCE805B" w14:textId="715FBB69" w:rsidR="00C00315" w:rsidRDefault="00C00315" w:rsidP="00D1042F">
      <w:pPr>
        <w:keepNext/>
        <w:keepLines/>
        <w:spacing w:line="360" w:lineRule="auto"/>
        <w:ind w:firstLine="720"/>
        <w:rPr>
          <w:sz w:val="26"/>
        </w:rPr>
      </w:pPr>
      <w:r w:rsidRPr="00EE54B1">
        <w:rPr>
          <w:bCs/>
          <w:sz w:val="26"/>
        </w:rPr>
        <w:t>The</w:t>
      </w:r>
      <w:r>
        <w:rPr>
          <w:bCs/>
          <w:sz w:val="26"/>
        </w:rPr>
        <w:t xml:space="preserve"> Commission continues to e</w:t>
      </w:r>
      <w:r w:rsidRPr="00EE54B1">
        <w:rPr>
          <w:bCs/>
          <w:sz w:val="26"/>
        </w:rPr>
        <w:t xml:space="preserve">ncourage </w:t>
      </w:r>
      <w:r>
        <w:rPr>
          <w:bCs/>
          <w:sz w:val="26"/>
        </w:rPr>
        <w:t>a</w:t>
      </w:r>
      <w:r w:rsidRPr="00EE54B1">
        <w:rPr>
          <w:bCs/>
          <w:sz w:val="26"/>
        </w:rPr>
        <w:t xml:space="preserve">nnual </w:t>
      </w:r>
      <w:r>
        <w:rPr>
          <w:bCs/>
          <w:sz w:val="26"/>
        </w:rPr>
        <w:t>lump</w:t>
      </w:r>
      <w:r>
        <w:rPr>
          <w:bCs/>
          <w:sz w:val="26"/>
        </w:rPr>
        <w:noBreakHyphen/>
        <w:t>sum p</w:t>
      </w:r>
      <w:r w:rsidRPr="00EE54B1">
        <w:rPr>
          <w:bCs/>
          <w:sz w:val="26"/>
        </w:rPr>
        <w:t xml:space="preserve">ayments </w:t>
      </w:r>
      <w:r>
        <w:rPr>
          <w:bCs/>
          <w:sz w:val="26"/>
        </w:rPr>
        <w:t xml:space="preserve">at the beginning of the calendar year </w:t>
      </w:r>
      <w:r w:rsidRPr="00EE54B1">
        <w:rPr>
          <w:bCs/>
          <w:sz w:val="26"/>
        </w:rPr>
        <w:t xml:space="preserve">or </w:t>
      </w:r>
      <w:r>
        <w:rPr>
          <w:bCs/>
          <w:sz w:val="26"/>
        </w:rPr>
        <w:t>q</w:t>
      </w:r>
      <w:r w:rsidRPr="00EE54B1">
        <w:rPr>
          <w:bCs/>
          <w:sz w:val="26"/>
        </w:rPr>
        <w:t xml:space="preserve">uarterly </w:t>
      </w:r>
      <w:r>
        <w:rPr>
          <w:bCs/>
          <w:sz w:val="26"/>
        </w:rPr>
        <w:t>p</w:t>
      </w:r>
      <w:r w:rsidRPr="00EE54B1">
        <w:rPr>
          <w:bCs/>
          <w:sz w:val="26"/>
        </w:rPr>
        <w:t>ayments</w:t>
      </w:r>
      <w:r>
        <w:rPr>
          <w:bCs/>
          <w:sz w:val="26"/>
        </w:rPr>
        <w:t xml:space="preserve"> where it is economically feasible (</w:t>
      </w:r>
      <w:r w:rsidRPr="0035521C">
        <w:rPr>
          <w:bCs/>
          <w:i/>
          <w:iCs/>
          <w:sz w:val="26"/>
        </w:rPr>
        <w:t>e.g</w:t>
      </w:r>
      <w:r>
        <w:rPr>
          <w:bCs/>
          <w:sz w:val="26"/>
        </w:rPr>
        <w:t>., when providers have nominal monthly contributions, such as less than $500 per month).  This measure will increase</w:t>
      </w:r>
      <w:r w:rsidRPr="00A92953">
        <w:rPr>
          <w:sz w:val="26"/>
        </w:rPr>
        <w:t xml:space="preserve"> operational efficiencies for carriers</w:t>
      </w:r>
      <w:r>
        <w:rPr>
          <w:sz w:val="26"/>
        </w:rPr>
        <w:t>,</w:t>
      </w:r>
      <w:r w:rsidRPr="00A92953">
        <w:rPr>
          <w:sz w:val="26"/>
        </w:rPr>
        <w:t xml:space="preserve"> as well as </w:t>
      </w:r>
      <w:r>
        <w:rPr>
          <w:sz w:val="26"/>
        </w:rPr>
        <w:t xml:space="preserve">for </w:t>
      </w:r>
      <w:r w:rsidRPr="00A92953">
        <w:rPr>
          <w:sz w:val="26"/>
        </w:rPr>
        <w:t xml:space="preserve">the </w:t>
      </w:r>
      <w:r>
        <w:rPr>
          <w:sz w:val="26"/>
        </w:rPr>
        <w:t>Fund A</w:t>
      </w:r>
      <w:r w:rsidRPr="00A92953">
        <w:rPr>
          <w:sz w:val="26"/>
        </w:rPr>
        <w:t>dministrator</w:t>
      </w:r>
      <w:r>
        <w:rPr>
          <w:sz w:val="26"/>
        </w:rPr>
        <w:t>.  Thus, we urge contributing telecommunications providers to remit either quarterly payments or lump-sum annual contributions.</w:t>
      </w:r>
    </w:p>
    <w:p w14:paraId="091EE899" w14:textId="77777777" w:rsidR="00C00315" w:rsidRDefault="00C00315" w:rsidP="00C00315">
      <w:pPr>
        <w:spacing w:line="360" w:lineRule="auto"/>
        <w:ind w:left="720" w:hanging="720"/>
        <w:rPr>
          <w:sz w:val="26"/>
          <w:u w:val="single"/>
        </w:rPr>
      </w:pPr>
    </w:p>
    <w:bookmarkEnd w:id="4"/>
    <w:p w14:paraId="01CDD847" w14:textId="77777777" w:rsidR="00C00315" w:rsidRPr="00CE7B41" w:rsidRDefault="00A67393" w:rsidP="00A67393">
      <w:pPr>
        <w:keepNext/>
        <w:keepLines/>
        <w:spacing w:line="360" w:lineRule="auto"/>
        <w:ind w:left="720" w:hanging="720"/>
        <w:jc w:val="center"/>
        <w:rPr>
          <w:b/>
          <w:sz w:val="26"/>
        </w:rPr>
      </w:pPr>
      <w:r w:rsidRPr="00CE7B41">
        <w:rPr>
          <w:b/>
          <w:sz w:val="26"/>
        </w:rPr>
        <w:t>CONCLUSION</w:t>
      </w:r>
    </w:p>
    <w:p w14:paraId="7524F524" w14:textId="1A9A8356" w:rsidR="00FA40BB" w:rsidRDefault="00C00315" w:rsidP="0035521C">
      <w:pPr>
        <w:spacing w:line="360" w:lineRule="auto"/>
        <w:ind w:firstLine="720"/>
        <w:rPr>
          <w:b/>
          <w:sz w:val="26"/>
          <w:szCs w:val="26"/>
        </w:rPr>
      </w:pPr>
      <w:r w:rsidRPr="00A92953">
        <w:rPr>
          <w:sz w:val="26"/>
        </w:rPr>
        <w:t xml:space="preserve">The Commission agrees with </w:t>
      </w:r>
      <w:r w:rsidR="008A2312">
        <w:rPr>
          <w:sz w:val="26"/>
        </w:rPr>
        <w:t>VPS</w:t>
      </w:r>
      <w:r w:rsidRPr="00A92953">
        <w:rPr>
          <w:sz w:val="26"/>
        </w:rPr>
        <w:t>’s recommendations regarding maintaining a</w:t>
      </w:r>
      <w:r>
        <w:rPr>
          <w:sz w:val="26"/>
        </w:rPr>
        <w:t> </w:t>
      </w:r>
      <w:r w:rsidRPr="00A92953">
        <w:rPr>
          <w:sz w:val="26"/>
        </w:rPr>
        <w:t xml:space="preserve">5% annual funding contingency, using a carryover balance, </w:t>
      </w:r>
      <w:r>
        <w:rPr>
          <w:sz w:val="26"/>
        </w:rPr>
        <w:t xml:space="preserve">requiring timely filings using </w:t>
      </w:r>
      <w:r w:rsidR="008A2312">
        <w:rPr>
          <w:sz w:val="26"/>
        </w:rPr>
        <w:t>VPS</w:t>
      </w:r>
      <w:r>
        <w:rPr>
          <w:sz w:val="26"/>
        </w:rPr>
        <w:t xml:space="preserve">’s web-based portal, conducting carrier compliance reviews for selected contributing carriers as well as selected providers that have reported </w:t>
      </w:r>
      <w:r>
        <w:rPr>
          <w:i/>
          <w:iCs/>
          <w:sz w:val="26"/>
        </w:rPr>
        <w:t>de minimis</w:t>
      </w:r>
      <w:r>
        <w:rPr>
          <w:sz w:val="26"/>
        </w:rPr>
        <w:t xml:space="preserve"> revenues for two consecutive years, </w:t>
      </w:r>
      <w:r w:rsidRPr="00A92953">
        <w:rPr>
          <w:sz w:val="26"/>
        </w:rPr>
        <w:t xml:space="preserve">and </w:t>
      </w:r>
      <w:r w:rsidR="002E0D2E">
        <w:rPr>
          <w:sz w:val="26"/>
        </w:rPr>
        <w:t>de</w:t>
      </w:r>
      <w:r>
        <w:rPr>
          <w:sz w:val="26"/>
        </w:rPr>
        <w:t>creasing</w:t>
      </w:r>
      <w:r w:rsidRPr="00A92953">
        <w:rPr>
          <w:sz w:val="26"/>
        </w:rPr>
        <w:t xml:space="preserve"> the assessment rate </w:t>
      </w:r>
      <w:r>
        <w:rPr>
          <w:sz w:val="26"/>
        </w:rPr>
        <w:t xml:space="preserve">to </w:t>
      </w:r>
      <w:bookmarkStart w:id="7" w:name="_Hlk531176240"/>
      <w:r>
        <w:rPr>
          <w:sz w:val="26"/>
        </w:rPr>
        <w:t>2.</w:t>
      </w:r>
      <w:r w:rsidR="002E0D2E">
        <w:rPr>
          <w:sz w:val="26"/>
        </w:rPr>
        <w:t>1255092</w:t>
      </w:r>
      <w:r w:rsidRPr="00C86B04">
        <w:rPr>
          <w:sz w:val="26"/>
        </w:rPr>
        <w:t>%</w:t>
      </w:r>
      <w:r>
        <w:rPr>
          <w:sz w:val="26"/>
        </w:rPr>
        <w:t xml:space="preserve">.  </w:t>
      </w:r>
      <w:r w:rsidR="00E26A30">
        <w:rPr>
          <w:sz w:val="26"/>
        </w:rPr>
        <w:t xml:space="preserve">Through this Order, the Commission directs all currently certificated telecommunications carriers to </w:t>
      </w:r>
      <w:r w:rsidR="00E025B2">
        <w:rPr>
          <w:sz w:val="26"/>
        </w:rPr>
        <w:t xml:space="preserve">ensure that they are </w:t>
      </w:r>
      <w:r w:rsidR="00E26A30">
        <w:rPr>
          <w:sz w:val="26"/>
        </w:rPr>
        <w:t xml:space="preserve">reporting </w:t>
      </w:r>
      <w:r w:rsidR="00E025B2">
        <w:rPr>
          <w:sz w:val="26"/>
        </w:rPr>
        <w:t xml:space="preserve">their total gross </w:t>
      </w:r>
      <w:r w:rsidR="00E26A30">
        <w:rPr>
          <w:sz w:val="26"/>
        </w:rPr>
        <w:t xml:space="preserve">intrastate VoIP revenues </w:t>
      </w:r>
      <w:r w:rsidR="00326CED">
        <w:rPr>
          <w:sz w:val="26"/>
        </w:rPr>
        <w:t xml:space="preserve">to VPS </w:t>
      </w:r>
      <w:r w:rsidR="00E26A30">
        <w:rPr>
          <w:sz w:val="26"/>
        </w:rPr>
        <w:t xml:space="preserve">for </w:t>
      </w:r>
      <w:proofErr w:type="spellStart"/>
      <w:r w:rsidR="00E26A30">
        <w:rPr>
          <w:sz w:val="26"/>
        </w:rPr>
        <w:t>PaUSF</w:t>
      </w:r>
      <w:proofErr w:type="spellEnd"/>
      <w:r w:rsidR="00E26A30">
        <w:rPr>
          <w:sz w:val="26"/>
        </w:rPr>
        <w:t xml:space="preserve"> assessment purposes.  </w:t>
      </w:r>
      <w:r w:rsidR="00E025B2">
        <w:rPr>
          <w:sz w:val="26"/>
        </w:rPr>
        <w:t xml:space="preserve">Also, in light of </w:t>
      </w:r>
      <w:r w:rsidR="008A2312">
        <w:rPr>
          <w:sz w:val="26"/>
        </w:rPr>
        <w:t>VPS</w:t>
      </w:r>
      <w:r>
        <w:rPr>
          <w:sz w:val="26"/>
        </w:rPr>
        <w:t xml:space="preserve">’s request that the Commission </w:t>
      </w:r>
      <w:r w:rsidRPr="00EB756F">
        <w:rPr>
          <w:sz w:val="26"/>
        </w:rPr>
        <w:t>develop</w:t>
      </w:r>
      <w:r>
        <w:rPr>
          <w:sz w:val="26"/>
        </w:rPr>
        <w:t xml:space="preserve"> </w:t>
      </w:r>
      <w:r w:rsidRPr="00EB756F">
        <w:rPr>
          <w:sz w:val="26"/>
        </w:rPr>
        <w:t xml:space="preserve">a numbering mechanism for </w:t>
      </w:r>
      <w:r w:rsidR="00326CED">
        <w:rPr>
          <w:sz w:val="26"/>
        </w:rPr>
        <w:t xml:space="preserve">interconnected </w:t>
      </w:r>
      <w:r w:rsidRPr="00EB756F">
        <w:rPr>
          <w:sz w:val="26"/>
        </w:rPr>
        <w:t xml:space="preserve">VoIP and wireless providers </w:t>
      </w:r>
      <w:r>
        <w:rPr>
          <w:sz w:val="26"/>
        </w:rPr>
        <w:t xml:space="preserve">that </w:t>
      </w:r>
      <w:r w:rsidRPr="00EB756F">
        <w:rPr>
          <w:sz w:val="26"/>
        </w:rPr>
        <w:t xml:space="preserve">contribute </w:t>
      </w:r>
      <w:r>
        <w:rPr>
          <w:sz w:val="26"/>
        </w:rPr>
        <w:t xml:space="preserve">to the </w:t>
      </w:r>
      <w:proofErr w:type="spellStart"/>
      <w:r>
        <w:rPr>
          <w:sz w:val="26"/>
        </w:rPr>
        <w:t>PaUSF</w:t>
      </w:r>
      <w:proofErr w:type="spellEnd"/>
      <w:r>
        <w:rPr>
          <w:sz w:val="26"/>
        </w:rPr>
        <w:t xml:space="preserve"> but </w:t>
      </w:r>
      <w:r w:rsidRPr="00EB756F">
        <w:rPr>
          <w:sz w:val="26"/>
        </w:rPr>
        <w:t xml:space="preserve">do not have </w:t>
      </w:r>
      <w:r w:rsidR="00326CED" w:rsidRPr="00326CED">
        <w:rPr>
          <w:sz w:val="26"/>
        </w:rPr>
        <w:t>an assigned</w:t>
      </w:r>
      <w:r w:rsidR="00326CED">
        <w:rPr>
          <w:sz w:val="26"/>
        </w:rPr>
        <w:t xml:space="preserve"> </w:t>
      </w:r>
      <w:r w:rsidRPr="00EB756F">
        <w:rPr>
          <w:sz w:val="26"/>
        </w:rPr>
        <w:t>utility code</w:t>
      </w:r>
      <w:r>
        <w:rPr>
          <w:sz w:val="26"/>
        </w:rPr>
        <w:t xml:space="preserve"> because they have not obtained a certificate of public convenience</w:t>
      </w:r>
      <w:r w:rsidR="00E025B2">
        <w:rPr>
          <w:sz w:val="26"/>
        </w:rPr>
        <w:t>, t</w:t>
      </w:r>
      <w:r>
        <w:rPr>
          <w:sz w:val="26"/>
        </w:rPr>
        <w:t xml:space="preserve">he Commission </w:t>
      </w:r>
      <w:r w:rsidR="00E025B2">
        <w:rPr>
          <w:sz w:val="26"/>
        </w:rPr>
        <w:t xml:space="preserve">has taken steps to address </w:t>
      </w:r>
      <w:r w:rsidR="00E025B2" w:rsidRPr="00576F36">
        <w:rPr>
          <w:sz w:val="26"/>
          <w:szCs w:val="26"/>
        </w:rPr>
        <w:t xml:space="preserve">this issue; </w:t>
      </w:r>
      <w:bookmarkEnd w:id="7"/>
      <w:r w:rsidR="00FA40BB" w:rsidRPr="00576F36">
        <w:rPr>
          <w:b/>
          <w:sz w:val="26"/>
          <w:szCs w:val="26"/>
        </w:rPr>
        <w:t>THEREFORE</w:t>
      </w:r>
      <w:r w:rsidR="006B1962" w:rsidRPr="00576F36">
        <w:rPr>
          <w:b/>
          <w:sz w:val="26"/>
          <w:szCs w:val="26"/>
        </w:rPr>
        <w:t>,</w:t>
      </w:r>
    </w:p>
    <w:p w14:paraId="34AD2F71" w14:textId="77777777" w:rsidR="00D1042F" w:rsidRPr="00576F36" w:rsidRDefault="00D1042F" w:rsidP="0035521C">
      <w:pPr>
        <w:spacing w:line="360" w:lineRule="auto"/>
        <w:ind w:firstLine="720"/>
        <w:rPr>
          <w:b/>
          <w:sz w:val="26"/>
          <w:szCs w:val="26"/>
        </w:rPr>
      </w:pPr>
    </w:p>
    <w:p w14:paraId="3A4AA2A9" w14:textId="4DB1B856" w:rsidR="00DF0470" w:rsidRPr="00576F36" w:rsidRDefault="002B18E0" w:rsidP="00DF0470">
      <w:pPr>
        <w:spacing w:line="360" w:lineRule="auto"/>
        <w:rPr>
          <w:b/>
          <w:bCs/>
          <w:sz w:val="26"/>
          <w:szCs w:val="26"/>
        </w:rPr>
      </w:pPr>
      <w:r w:rsidRPr="00576F36">
        <w:rPr>
          <w:b/>
          <w:bCs/>
          <w:sz w:val="26"/>
          <w:szCs w:val="26"/>
        </w:rPr>
        <w:tab/>
      </w:r>
      <w:r w:rsidR="006B1962" w:rsidRPr="00576F36">
        <w:rPr>
          <w:b/>
          <w:bCs/>
          <w:sz w:val="26"/>
          <w:szCs w:val="26"/>
        </w:rPr>
        <w:t>I</w:t>
      </w:r>
      <w:r w:rsidR="00DF0470" w:rsidRPr="00576F36">
        <w:rPr>
          <w:b/>
          <w:bCs/>
          <w:sz w:val="26"/>
          <w:szCs w:val="26"/>
        </w:rPr>
        <w:t>T IS ORDERED:</w:t>
      </w:r>
    </w:p>
    <w:p w14:paraId="35F9A1F8" w14:textId="77777777" w:rsidR="00E025B2" w:rsidRPr="00576F36" w:rsidRDefault="00E025B2" w:rsidP="00DF0470">
      <w:pPr>
        <w:spacing w:line="360" w:lineRule="auto"/>
        <w:rPr>
          <w:b/>
          <w:bCs/>
          <w:sz w:val="26"/>
          <w:szCs w:val="26"/>
        </w:rPr>
      </w:pPr>
    </w:p>
    <w:p w14:paraId="5C4F0D27" w14:textId="15F32F3D" w:rsidR="00C00315" w:rsidRPr="00F110C1" w:rsidRDefault="00C00315" w:rsidP="00576F36">
      <w:pPr>
        <w:overflowPunct/>
        <w:autoSpaceDE/>
        <w:autoSpaceDN/>
        <w:adjustRightInd/>
        <w:spacing w:line="360" w:lineRule="auto"/>
        <w:ind w:firstLine="720"/>
        <w:textAlignment w:val="auto"/>
        <w:rPr>
          <w:sz w:val="26"/>
          <w:szCs w:val="26"/>
        </w:rPr>
      </w:pPr>
      <w:r w:rsidRPr="00F110C1">
        <w:rPr>
          <w:sz w:val="26"/>
          <w:szCs w:val="26"/>
        </w:rPr>
        <w:t>1.</w:t>
      </w:r>
      <w:r w:rsidRPr="00F110C1">
        <w:rPr>
          <w:sz w:val="26"/>
          <w:szCs w:val="26"/>
        </w:rPr>
        <w:tab/>
        <w:t xml:space="preserve">That the Administrator’s Report of </w:t>
      </w:r>
      <w:r w:rsidR="00CC3B06" w:rsidRPr="00F110C1">
        <w:rPr>
          <w:sz w:val="26"/>
          <w:szCs w:val="26"/>
        </w:rPr>
        <w:t>Vantage Point Solutions</w:t>
      </w:r>
      <w:r w:rsidRPr="00F110C1">
        <w:rPr>
          <w:sz w:val="26"/>
          <w:szCs w:val="26"/>
        </w:rPr>
        <w:t xml:space="preserve"> dated September </w:t>
      </w:r>
      <w:r w:rsidR="007F2A58" w:rsidRPr="00F110C1">
        <w:rPr>
          <w:sz w:val="26"/>
          <w:szCs w:val="26"/>
        </w:rPr>
        <w:t>2</w:t>
      </w:r>
      <w:r w:rsidR="002E0D2E" w:rsidRPr="00F110C1">
        <w:rPr>
          <w:sz w:val="26"/>
          <w:szCs w:val="26"/>
        </w:rPr>
        <w:t>7</w:t>
      </w:r>
      <w:r w:rsidRPr="00F110C1">
        <w:rPr>
          <w:sz w:val="26"/>
          <w:szCs w:val="26"/>
        </w:rPr>
        <w:t>, 202</w:t>
      </w:r>
      <w:r w:rsidR="002E0D2E" w:rsidRPr="00F110C1">
        <w:rPr>
          <w:sz w:val="26"/>
          <w:szCs w:val="26"/>
        </w:rPr>
        <w:t>1</w:t>
      </w:r>
      <w:r w:rsidRPr="00F110C1">
        <w:rPr>
          <w:sz w:val="26"/>
          <w:szCs w:val="26"/>
        </w:rPr>
        <w:t>, is approved and the monthly contribution factor for the Pennsylvania Universal Service Fund for 202</w:t>
      </w:r>
      <w:r w:rsidR="005F3992">
        <w:rPr>
          <w:sz w:val="26"/>
          <w:szCs w:val="26"/>
        </w:rPr>
        <w:t>2</w:t>
      </w:r>
      <w:r w:rsidRPr="00F110C1">
        <w:rPr>
          <w:sz w:val="26"/>
          <w:szCs w:val="26"/>
        </w:rPr>
        <w:t xml:space="preserve"> is hereby </w:t>
      </w:r>
      <w:r w:rsidR="0060403A" w:rsidRPr="00F110C1">
        <w:rPr>
          <w:sz w:val="26"/>
          <w:szCs w:val="26"/>
        </w:rPr>
        <w:t>de</w:t>
      </w:r>
      <w:r w:rsidRPr="00F110C1">
        <w:rPr>
          <w:sz w:val="26"/>
          <w:szCs w:val="26"/>
        </w:rPr>
        <w:t>creased from 2.</w:t>
      </w:r>
      <w:r w:rsidR="00E4276E" w:rsidRPr="00F110C1">
        <w:rPr>
          <w:sz w:val="26"/>
          <w:szCs w:val="26"/>
        </w:rPr>
        <w:t>1673586</w:t>
      </w:r>
      <w:r w:rsidRPr="00F110C1">
        <w:rPr>
          <w:sz w:val="26"/>
          <w:szCs w:val="26"/>
        </w:rPr>
        <w:t>% (0.02</w:t>
      </w:r>
      <w:r w:rsidR="00E4276E" w:rsidRPr="00F110C1">
        <w:rPr>
          <w:sz w:val="26"/>
          <w:szCs w:val="26"/>
        </w:rPr>
        <w:t>1673586</w:t>
      </w:r>
      <w:r w:rsidRPr="00F110C1">
        <w:rPr>
          <w:sz w:val="26"/>
          <w:szCs w:val="26"/>
        </w:rPr>
        <w:t>) of 201</w:t>
      </w:r>
      <w:r w:rsidR="00E4276E" w:rsidRPr="00F110C1">
        <w:rPr>
          <w:sz w:val="26"/>
          <w:szCs w:val="26"/>
        </w:rPr>
        <w:t>9</w:t>
      </w:r>
      <w:r w:rsidRPr="00F110C1">
        <w:rPr>
          <w:sz w:val="26"/>
          <w:szCs w:val="26"/>
        </w:rPr>
        <w:t xml:space="preserve"> average monthly intrastate end-user retail telecommunications </w:t>
      </w:r>
      <w:r w:rsidRPr="00F110C1">
        <w:rPr>
          <w:sz w:val="26"/>
          <w:szCs w:val="26"/>
        </w:rPr>
        <w:lastRenderedPageBreak/>
        <w:t>revenue to 2.1</w:t>
      </w:r>
      <w:r w:rsidR="00E4276E" w:rsidRPr="00F110C1">
        <w:rPr>
          <w:sz w:val="26"/>
          <w:szCs w:val="26"/>
        </w:rPr>
        <w:t>255092</w:t>
      </w:r>
      <w:r w:rsidRPr="00F110C1">
        <w:rPr>
          <w:sz w:val="26"/>
          <w:szCs w:val="26"/>
        </w:rPr>
        <w:t>% (0.02</w:t>
      </w:r>
      <w:r w:rsidR="00E4276E" w:rsidRPr="00F110C1">
        <w:rPr>
          <w:sz w:val="26"/>
          <w:szCs w:val="26"/>
        </w:rPr>
        <w:t>1255092</w:t>
      </w:r>
      <w:r w:rsidRPr="00F110C1">
        <w:rPr>
          <w:sz w:val="26"/>
          <w:szCs w:val="26"/>
        </w:rPr>
        <w:t>) of 20</w:t>
      </w:r>
      <w:r w:rsidR="00E4276E" w:rsidRPr="00F110C1">
        <w:rPr>
          <w:sz w:val="26"/>
          <w:szCs w:val="26"/>
        </w:rPr>
        <w:t>20</w:t>
      </w:r>
      <w:r w:rsidRPr="00F110C1">
        <w:rPr>
          <w:sz w:val="26"/>
          <w:szCs w:val="26"/>
        </w:rPr>
        <w:t xml:space="preserve"> average monthly intrastate end-user retail telecommunications revenue.  </w:t>
      </w:r>
    </w:p>
    <w:p w14:paraId="5FB87040" w14:textId="77777777" w:rsidR="00C00315" w:rsidRPr="00576F36" w:rsidRDefault="00C00315" w:rsidP="00C00315">
      <w:pPr>
        <w:overflowPunct/>
        <w:autoSpaceDE/>
        <w:autoSpaceDN/>
        <w:adjustRightInd/>
        <w:spacing w:line="360" w:lineRule="auto"/>
        <w:textAlignment w:val="auto"/>
        <w:rPr>
          <w:sz w:val="26"/>
          <w:szCs w:val="26"/>
        </w:rPr>
      </w:pPr>
    </w:p>
    <w:p w14:paraId="5B2C0A43" w14:textId="5929F552" w:rsidR="00232112" w:rsidRPr="00576F36" w:rsidRDefault="00C00315" w:rsidP="00C00315">
      <w:pPr>
        <w:overflowPunct/>
        <w:autoSpaceDE/>
        <w:autoSpaceDN/>
        <w:adjustRightInd/>
        <w:spacing w:line="360" w:lineRule="auto"/>
        <w:ind w:firstLine="720"/>
        <w:textAlignment w:val="auto"/>
        <w:rPr>
          <w:sz w:val="26"/>
          <w:szCs w:val="26"/>
        </w:rPr>
      </w:pPr>
      <w:r w:rsidRPr="00576F36">
        <w:rPr>
          <w:sz w:val="26"/>
          <w:szCs w:val="26"/>
        </w:rPr>
        <w:t>2.</w:t>
      </w:r>
      <w:r w:rsidRPr="00576F36">
        <w:rPr>
          <w:sz w:val="26"/>
          <w:szCs w:val="26"/>
        </w:rPr>
        <w:tab/>
      </w:r>
      <w:r w:rsidR="00232112" w:rsidRPr="00576F36">
        <w:rPr>
          <w:sz w:val="26"/>
          <w:szCs w:val="26"/>
        </w:rPr>
        <w:t>Tha</w:t>
      </w:r>
      <w:r w:rsidR="00287A19" w:rsidRPr="00576F36">
        <w:rPr>
          <w:sz w:val="26"/>
          <w:szCs w:val="26"/>
        </w:rPr>
        <w:t xml:space="preserve">t </w:t>
      </w:r>
      <w:r w:rsidR="00CC3B06" w:rsidRPr="00576F36">
        <w:rPr>
          <w:sz w:val="26"/>
          <w:szCs w:val="26"/>
        </w:rPr>
        <w:t>Vantage Point Solutions</w:t>
      </w:r>
      <w:r w:rsidR="00287A19" w:rsidRPr="00576F36">
        <w:rPr>
          <w:sz w:val="26"/>
          <w:szCs w:val="26"/>
        </w:rPr>
        <w:t xml:space="preserve"> amend the </w:t>
      </w:r>
      <w:proofErr w:type="spellStart"/>
      <w:r w:rsidR="00287A19" w:rsidRPr="00576F36">
        <w:rPr>
          <w:sz w:val="26"/>
          <w:szCs w:val="26"/>
        </w:rPr>
        <w:t>PaUSF</w:t>
      </w:r>
      <w:proofErr w:type="spellEnd"/>
      <w:r w:rsidR="00287A19" w:rsidRPr="00576F36">
        <w:rPr>
          <w:sz w:val="26"/>
          <w:szCs w:val="26"/>
        </w:rPr>
        <w:t xml:space="preserve"> Development of Assessment Data Request form, in coordination with the Commission, to direct </w:t>
      </w:r>
      <w:r w:rsidR="00E025B2" w:rsidRPr="00576F36">
        <w:rPr>
          <w:sz w:val="26"/>
          <w:szCs w:val="26"/>
        </w:rPr>
        <w:t xml:space="preserve">all </w:t>
      </w:r>
      <w:r w:rsidR="007E707C" w:rsidRPr="00576F36">
        <w:rPr>
          <w:sz w:val="26"/>
          <w:szCs w:val="26"/>
        </w:rPr>
        <w:t xml:space="preserve">contributing </w:t>
      </w:r>
      <w:r w:rsidR="00287A19" w:rsidRPr="00576F36">
        <w:rPr>
          <w:sz w:val="26"/>
          <w:szCs w:val="26"/>
        </w:rPr>
        <w:t xml:space="preserve">telecommunications carriers to </w:t>
      </w:r>
      <w:r w:rsidR="00E025B2" w:rsidRPr="00576F36">
        <w:rPr>
          <w:sz w:val="26"/>
          <w:szCs w:val="26"/>
        </w:rPr>
        <w:t xml:space="preserve">report their total gross </w:t>
      </w:r>
      <w:r w:rsidR="00287A19" w:rsidRPr="00576F36">
        <w:rPr>
          <w:sz w:val="26"/>
          <w:szCs w:val="26"/>
        </w:rPr>
        <w:t xml:space="preserve">intrastate VoIP revenues for </w:t>
      </w:r>
      <w:proofErr w:type="spellStart"/>
      <w:r w:rsidR="00287A19" w:rsidRPr="00576F36">
        <w:rPr>
          <w:sz w:val="26"/>
          <w:szCs w:val="26"/>
        </w:rPr>
        <w:t>PaUSF</w:t>
      </w:r>
      <w:proofErr w:type="spellEnd"/>
      <w:r w:rsidR="00287A19" w:rsidRPr="00576F36">
        <w:rPr>
          <w:sz w:val="26"/>
          <w:szCs w:val="26"/>
        </w:rPr>
        <w:t xml:space="preserve"> purposes.</w:t>
      </w:r>
    </w:p>
    <w:p w14:paraId="6B6853E2" w14:textId="77777777" w:rsidR="00232112" w:rsidRDefault="00232112" w:rsidP="00C00315">
      <w:pPr>
        <w:overflowPunct/>
        <w:autoSpaceDE/>
        <w:autoSpaceDN/>
        <w:adjustRightInd/>
        <w:spacing w:line="360" w:lineRule="auto"/>
        <w:ind w:firstLine="720"/>
        <w:textAlignment w:val="auto"/>
        <w:rPr>
          <w:sz w:val="26"/>
        </w:rPr>
      </w:pPr>
    </w:p>
    <w:p w14:paraId="41B73459" w14:textId="0957E08D" w:rsidR="00C00315" w:rsidRDefault="00232112" w:rsidP="00C00315">
      <w:pPr>
        <w:overflowPunct/>
        <w:autoSpaceDE/>
        <w:autoSpaceDN/>
        <w:adjustRightInd/>
        <w:spacing w:line="360" w:lineRule="auto"/>
        <w:ind w:firstLine="720"/>
        <w:textAlignment w:val="auto"/>
        <w:rPr>
          <w:sz w:val="26"/>
        </w:rPr>
      </w:pPr>
      <w:r>
        <w:rPr>
          <w:sz w:val="26"/>
        </w:rPr>
        <w:t>3.</w:t>
      </w:r>
      <w:r>
        <w:rPr>
          <w:sz w:val="26"/>
        </w:rPr>
        <w:tab/>
      </w:r>
      <w:r w:rsidR="00C00315" w:rsidRPr="00F47806">
        <w:rPr>
          <w:sz w:val="26"/>
        </w:rPr>
        <w:t xml:space="preserve">That all </w:t>
      </w:r>
      <w:r w:rsidR="007E707C">
        <w:rPr>
          <w:sz w:val="26"/>
        </w:rPr>
        <w:t xml:space="preserve">contributing </w:t>
      </w:r>
      <w:r w:rsidR="00C00315" w:rsidRPr="00F47806">
        <w:rPr>
          <w:sz w:val="26"/>
        </w:rPr>
        <w:t xml:space="preserve">carriers file </w:t>
      </w:r>
      <w:r w:rsidR="00C00315">
        <w:rPr>
          <w:sz w:val="26"/>
        </w:rPr>
        <w:t xml:space="preserve">a completed </w:t>
      </w:r>
      <w:proofErr w:type="spellStart"/>
      <w:r w:rsidR="00C00315">
        <w:rPr>
          <w:sz w:val="26"/>
        </w:rPr>
        <w:t>PaUSF</w:t>
      </w:r>
      <w:proofErr w:type="spellEnd"/>
      <w:r w:rsidR="00C00315">
        <w:rPr>
          <w:sz w:val="26"/>
        </w:rPr>
        <w:t xml:space="preserve"> </w:t>
      </w:r>
      <w:r>
        <w:rPr>
          <w:sz w:val="26"/>
        </w:rPr>
        <w:t xml:space="preserve">Development of </w:t>
      </w:r>
      <w:r w:rsidR="00C00315">
        <w:rPr>
          <w:sz w:val="26"/>
        </w:rPr>
        <w:t>Assessment</w:t>
      </w:r>
      <w:r>
        <w:rPr>
          <w:sz w:val="26"/>
        </w:rPr>
        <w:t xml:space="preserve"> Data Request form</w:t>
      </w:r>
      <w:r w:rsidR="00C00315" w:rsidRPr="00F47806">
        <w:rPr>
          <w:sz w:val="26"/>
        </w:rPr>
        <w:t>, due on March 31, </w:t>
      </w:r>
      <w:r w:rsidR="00F9249F" w:rsidRPr="00F47806">
        <w:rPr>
          <w:sz w:val="26"/>
        </w:rPr>
        <w:t>20</w:t>
      </w:r>
      <w:r w:rsidR="00F9249F">
        <w:rPr>
          <w:sz w:val="26"/>
        </w:rPr>
        <w:t>22</w:t>
      </w:r>
      <w:r w:rsidR="00C00315" w:rsidRPr="00F47806">
        <w:rPr>
          <w:sz w:val="26"/>
        </w:rPr>
        <w:t xml:space="preserve">, with </w:t>
      </w:r>
      <w:r w:rsidR="004E4C6F">
        <w:rPr>
          <w:sz w:val="26"/>
        </w:rPr>
        <w:t>Vantage Point Solutions</w:t>
      </w:r>
      <w:r w:rsidR="00C00315" w:rsidRPr="00F47806">
        <w:rPr>
          <w:sz w:val="26"/>
        </w:rPr>
        <w:t xml:space="preserve"> using its web-based </w:t>
      </w:r>
      <w:proofErr w:type="gramStart"/>
      <w:r w:rsidR="00C00315" w:rsidRPr="00F47806">
        <w:rPr>
          <w:sz w:val="26"/>
        </w:rPr>
        <w:t>portal, and</w:t>
      </w:r>
      <w:proofErr w:type="gramEnd"/>
      <w:r w:rsidR="00C00315" w:rsidRPr="00F47806">
        <w:rPr>
          <w:sz w:val="26"/>
        </w:rPr>
        <w:t xml:space="preserve"> file a</w:t>
      </w:r>
      <w:r w:rsidR="00E26A30">
        <w:rPr>
          <w:sz w:val="26"/>
        </w:rPr>
        <w:t>n electronic</w:t>
      </w:r>
      <w:r w:rsidR="00C00315" w:rsidRPr="00F47806">
        <w:rPr>
          <w:sz w:val="26"/>
        </w:rPr>
        <w:t xml:space="preserve"> copy with the Commission’s Secretary’s Bureau.</w:t>
      </w:r>
      <w:r w:rsidR="00C00315">
        <w:rPr>
          <w:sz w:val="26"/>
        </w:rPr>
        <w:t xml:space="preserve">  Failure to comply with this requirement may result in revocation of the carrier’s certificate of public convenience.</w:t>
      </w:r>
    </w:p>
    <w:p w14:paraId="2C5FFFCB" w14:textId="77777777" w:rsidR="00C00315" w:rsidRDefault="00C00315" w:rsidP="00C00315">
      <w:pPr>
        <w:overflowPunct/>
        <w:autoSpaceDE/>
        <w:autoSpaceDN/>
        <w:adjustRightInd/>
        <w:spacing w:line="360" w:lineRule="auto"/>
        <w:textAlignment w:val="auto"/>
        <w:rPr>
          <w:sz w:val="26"/>
        </w:rPr>
      </w:pPr>
    </w:p>
    <w:p w14:paraId="79E4D0D4" w14:textId="3E210DA9" w:rsidR="00C00315" w:rsidRDefault="00232112" w:rsidP="00C00315">
      <w:pPr>
        <w:overflowPunct/>
        <w:autoSpaceDE/>
        <w:autoSpaceDN/>
        <w:adjustRightInd/>
        <w:spacing w:line="360" w:lineRule="auto"/>
        <w:ind w:firstLine="720"/>
        <w:textAlignment w:val="auto"/>
        <w:rPr>
          <w:sz w:val="26"/>
          <w:szCs w:val="26"/>
        </w:rPr>
      </w:pPr>
      <w:r>
        <w:rPr>
          <w:sz w:val="26"/>
          <w:szCs w:val="26"/>
        </w:rPr>
        <w:t>4</w:t>
      </w:r>
      <w:r w:rsidR="00C00315">
        <w:rPr>
          <w:sz w:val="26"/>
          <w:szCs w:val="26"/>
        </w:rPr>
        <w:t>.</w:t>
      </w:r>
      <w:r w:rsidR="00C00315" w:rsidRPr="00342C97">
        <w:rPr>
          <w:sz w:val="26"/>
          <w:szCs w:val="26"/>
        </w:rPr>
        <w:tab/>
        <w:t xml:space="preserve">That </w:t>
      </w:r>
      <w:r w:rsidR="00D223C9">
        <w:rPr>
          <w:sz w:val="26"/>
          <w:szCs w:val="26"/>
        </w:rPr>
        <w:t>Vantage Point Solutions</w:t>
      </w:r>
      <w:r w:rsidR="00C00315" w:rsidRPr="00342C97">
        <w:rPr>
          <w:sz w:val="26"/>
          <w:szCs w:val="26"/>
        </w:rPr>
        <w:t xml:space="preserve"> is directed to send a letter to all </w:t>
      </w:r>
      <w:r w:rsidR="00C00315">
        <w:rPr>
          <w:sz w:val="26"/>
          <w:szCs w:val="26"/>
        </w:rPr>
        <w:t>contributing telecommunications providers</w:t>
      </w:r>
      <w:r w:rsidR="00C00315" w:rsidRPr="00342C97">
        <w:rPr>
          <w:sz w:val="26"/>
          <w:szCs w:val="26"/>
        </w:rPr>
        <w:t xml:space="preserve"> to the </w:t>
      </w:r>
      <w:r w:rsidR="00C00315">
        <w:rPr>
          <w:sz w:val="26"/>
          <w:szCs w:val="26"/>
        </w:rPr>
        <w:t xml:space="preserve">Pennsylvania Universal Service </w:t>
      </w:r>
      <w:r w:rsidR="00C00315" w:rsidRPr="00342C97">
        <w:rPr>
          <w:sz w:val="26"/>
          <w:szCs w:val="26"/>
        </w:rPr>
        <w:t xml:space="preserve">Fund explaining specifically how this contribution factor </w:t>
      </w:r>
      <w:r w:rsidR="00477876">
        <w:rPr>
          <w:sz w:val="26"/>
          <w:szCs w:val="26"/>
        </w:rPr>
        <w:t>decrease</w:t>
      </w:r>
      <w:r w:rsidR="00477876" w:rsidRPr="00342C97">
        <w:rPr>
          <w:sz w:val="26"/>
          <w:szCs w:val="26"/>
        </w:rPr>
        <w:t xml:space="preserve"> </w:t>
      </w:r>
      <w:r w:rsidR="00C00315" w:rsidRPr="00342C97">
        <w:rPr>
          <w:sz w:val="26"/>
          <w:szCs w:val="26"/>
        </w:rPr>
        <w:t>affects them and what their monthly contributions will be for the calendar year 20</w:t>
      </w:r>
      <w:r w:rsidR="00C00315">
        <w:rPr>
          <w:sz w:val="26"/>
          <w:szCs w:val="26"/>
        </w:rPr>
        <w:t>2</w:t>
      </w:r>
      <w:r w:rsidR="00E4276E">
        <w:rPr>
          <w:sz w:val="26"/>
          <w:szCs w:val="26"/>
        </w:rPr>
        <w:t>2</w:t>
      </w:r>
      <w:r w:rsidR="00C00315" w:rsidRPr="00342C97">
        <w:rPr>
          <w:sz w:val="26"/>
          <w:szCs w:val="26"/>
        </w:rPr>
        <w:t xml:space="preserve">.  The letter should encourage either payments on a quarterly basis or </w:t>
      </w:r>
      <w:r w:rsidR="00C00315">
        <w:rPr>
          <w:sz w:val="26"/>
          <w:szCs w:val="26"/>
        </w:rPr>
        <w:t xml:space="preserve">annual </w:t>
      </w:r>
      <w:r w:rsidR="00C00315" w:rsidRPr="00342C97">
        <w:rPr>
          <w:sz w:val="26"/>
          <w:szCs w:val="26"/>
        </w:rPr>
        <w:t>lump-sum payments in early 20</w:t>
      </w:r>
      <w:r w:rsidR="00C00315">
        <w:rPr>
          <w:sz w:val="26"/>
          <w:szCs w:val="26"/>
        </w:rPr>
        <w:t>2</w:t>
      </w:r>
      <w:r w:rsidR="00E4276E">
        <w:rPr>
          <w:sz w:val="26"/>
          <w:szCs w:val="26"/>
        </w:rPr>
        <w:t>2</w:t>
      </w:r>
      <w:r w:rsidR="00C00315" w:rsidRPr="00342C97">
        <w:rPr>
          <w:sz w:val="26"/>
          <w:szCs w:val="26"/>
        </w:rPr>
        <w:t>; the letter must be pre-approved by Commission staff before it is mailed to participants.</w:t>
      </w:r>
    </w:p>
    <w:p w14:paraId="5A2C5D29" w14:textId="77777777" w:rsidR="00C00315" w:rsidRDefault="00C00315" w:rsidP="00C00315">
      <w:pPr>
        <w:overflowPunct/>
        <w:autoSpaceDE/>
        <w:autoSpaceDN/>
        <w:adjustRightInd/>
        <w:spacing w:line="360" w:lineRule="auto"/>
        <w:textAlignment w:val="auto"/>
        <w:rPr>
          <w:sz w:val="26"/>
          <w:szCs w:val="26"/>
        </w:rPr>
      </w:pPr>
    </w:p>
    <w:p w14:paraId="72FEC961" w14:textId="5DF89F41" w:rsidR="00C00315" w:rsidRDefault="00232112" w:rsidP="00C00315">
      <w:pPr>
        <w:overflowPunct/>
        <w:autoSpaceDE/>
        <w:autoSpaceDN/>
        <w:adjustRightInd/>
        <w:spacing w:line="360" w:lineRule="auto"/>
        <w:ind w:firstLine="720"/>
        <w:textAlignment w:val="auto"/>
        <w:rPr>
          <w:sz w:val="26"/>
        </w:rPr>
      </w:pPr>
      <w:r>
        <w:rPr>
          <w:sz w:val="26"/>
          <w:szCs w:val="26"/>
        </w:rPr>
        <w:t>5</w:t>
      </w:r>
      <w:r w:rsidR="00C00315">
        <w:rPr>
          <w:sz w:val="26"/>
          <w:szCs w:val="26"/>
        </w:rPr>
        <w:t>.</w:t>
      </w:r>
      <w:r w:rsidR="00C00315">
        <w:rPr>
          <w:sz w:val="26"/>
          <w:szCs w:val="26"/>
        </w:rPr>
        <w:tab/>
        <w:t xml:space="preserve">That </w:t>
      </w:r>
      <w:r w:rsidR="00C05800">
        <w:rPr>
          <w:sz w:val="26"/>
        </w:rPr>
        <w:t>the incoming Fund Administrator, in consultation with the Commission, is authorized</w:t>
      </w:r>
      <w:r w:rsidR="00C00315">
        <w:rPr>
          <w:sz w:val="26"/>
        </w:rPr>
        <w:t xml:space="preserve"> to submit a </w:t>
      </w:r>
      <w:r w:rsidR="00770078">
        <w:rPr>
          <w:sz w:val="26"/>
        </w:rPr>
        <w:t xml:space="preserve">as part of its </w:t>
      </w:r>
      <w:r w:rsidR="00C00315">
        <w:rPr>
          <w:sz w:val="26"/>
        </w:rPr>
        <w:t xml:space="preserve">contract, </w:t>
      </w:r>
      <w:r w:rsidR="00C329D6">
        <w:rPr>
          <w:sz w:val="26"/>
        </w:rPr>
        <w:t>a detail</w:t>
      </w:r>
      <w:r w:rsidR="00882F5B">
        <w:rPr>
          <w:sz w:val="26"/>
        </w:rPr>
        <w:t>ed plan and pricing schedule to conduc</w:t>
      </w:r>
      <w:r w:rsidR="00257613">
        <w:rPr>
          <w:sz w:val="26"/>
        </w:rPr>
        <w:t>t</w:t>
      </w:r>
      <w:r w:rsidR="00C00315">
        <w:rPr>
          <w:sz w:val="26"/>
        </w:rPr>
        <w:t xml:space="preserve"> carrier compliance review</w:t>
      </w:r>
      <w:r w:rsidR="00257613">
        <w:rPr>
          <w:sz w:val="26"/>
        </w:rPr>
        <w:t>s</w:t>
      </w:r>
      <w:r w:rsidR="007F30A6">
        <w:rPr>
          <w:sz w:val="26"/>
        </w:rPr>
        <w:t xml:space="preserve"> </w:t>
      </w:r>
      <w:r w:rsidR="00287936">
        <w:rPr>
          <w:sz w:val="26"/>
        </w:rPr>
        <w:t>for the fiscal year beginning July 1, </w:t>
      </w:r>
      <w:proofErr w:type="gramStart"/>
      <w:r w:rsidR="00287936">
        <w:rPr>
          <w:sz w:val="26"/>
        </w:rPr>
        <w:t>2022</w:t>
      </w:r>
      <w:proofErr w:type="gramEnd"/>
      <w:r w:rsidR="00287936">
        <w:rPr>
          <w:sz w:val="26"/>
        </w:rPr>
        <w:t xml:space="preserve"> and ending June 30,</w:t>
      </w:r>
      <w:r w:rsidR="00582E24">
        <w:rPr>
          <w:sz w:val="26"/>
        </w:rPr>
        <w:t xml:space="preserve"> </w:t>
      </w:r>
      <w:r w:rsidR="00287936">
        <w:rPr>
          <w:sz w:val="26"/>
        </w:rPr>
        <w:t>2023</w:t>
      </w:r>
      <w:r w:rsidR="00C00315">
        <w:rPr>
          <w:sz w:val="26"/>
        </w:rPr>
        <w:t>.</w:t>
      </w:r>
    </w:p>
    <w:p w14:paraId="70746A60" w14:textId="77777777" w:rsidR="00E26A30" w:rsidRDefault="00E26A30" w:rsidP="00C00315">
      <w:pPr>
        <w:overflowPunct/>
        <w:autoSpaceDE/>
        <w:autoSpaceDN/>
        <w:adjustRightInd/>
        <w:spacing w:line="360" w:lineRule="auto"/>
        <w:ind w:firstLine="720"/>
        <w:textAlignment w:val="auto"/>
        <w:rPr>
          <w:sz w:val="26"/>
          <w:szCs w:val="26"/>
        </w:rPr>
      </w:pPr>
    </w:p>
    <w:p w14:paraId="33808620" w14:textId="7AD02C86" w:rsidR="00C00315" w:rsidRDefault="00232112" w:rsidP="00C00315">
      <w:pPr>
        <w:overflowPunct/>
        <w:autoSpaceDE/>
        <w:autoSpaceDN/>
        <w:adjustRightInd/>
        <w:spacing w:line="360" w:lineRule="auto"/>
        <w:ind w:firstLine="720"/>
        <w:textAlignment w:val="auto"/>
        <w:rPr>
          <w:sz w:val="26"/>
        </w:rPr>
      </w:pPr>
      <w:r>
        <w:rPr>
          <w:sz w:val="26"/>
          <w:szCs w:val="26"/>
        </w:rPr>
        <w:t>6</w:t>
      </w:r>
      <w:r w:rsidR="00C00315">
        <w:rPr>
          <w:sz w:val="26"/>
          <w:szCs w:val="26"/>
        </w:rPr>
        <w:t>.</w:t>
      </w:r>
      <w:r w:rsidR="00C00315">
        <w:rPr>
          <w:sz w:val="26"/>
          <w:szCs w:val="26"/>
        </w:rPr>
        <w:tab/>
      </w:r>
      <w:r w:rsidR="00C00315">
        <w:rPr>
          <w:sz w:val="26"/>
        </w:rPr>
        <w:t xml:space="preserve">That </w:t>
      </w:r>
      <w:r w:rsidR="00D34FE6">
        <w:rPr>
          <w:sz w:val="26"/>
        </w:rPr>
        <w:t>the incoming Fund Administrator</w:t>
      </w:r>
      <w:r w:rsidR="00C00315">
        <w:rPr>
          <w:sz w:val="26"/>
        </w:rPr>
        <w:t xml:space="preserve"> is </w:t>
      </w:r>
      <w:r w:rsidR="00D34FE6">
        <w:rPr>
          <w:sz w:val="26"/>
        </w:rPr>
        <w:t xml:space="preserve">authorized </w:t>
      </w:r>
      <w:r w:rsidR="00C00315">
        <w:rPr>
          <w:sz w:val="26"/>
        </w:rPr>
        <w:t xml:space="preserve">to conduct carrier compliance reviews of ten contributing carriers </w:t>
      </w:r>
      <w:r w:rsidR="00EC6E0A">
        <w:rPr>
          <w:sz w:val="26"/>
        </w:rPr>
        <w:t>in the fiscal year beginning July 1, </w:t>
      </w:r>
      <w:proofErr w:type="gramStart"/>
      <w:r w:rsidR="00EC6E0A">
        <w:rPr>
          <w:sz w:val="26"/>
        </w:rPr>
        <w:t>2022</w:t>
      </w:r>
      <w:proofErr w:type="gramEnd"/>
      <w:r w:rsidR="00EC6E0A">
        <w:rPr>
          <w:sz w:val="26"/>
        </w:rPr>
        <w:t xml:space="preserve"> and ending June 30, 2023</w:t>
      </w:r>
      <w:r w:rsidR="00C00315">
        <w:rPr>
          <w:sz w:val="26"/>
        </w:rPr>
        <w:t xml:space="preserve">.  Upon completion of </w:t>
      </w:r>
      <w:r w:rsidR="00EC6E0A">
        <w:rPr>
          <w:sz w:val="26"/>
        </w:rPr>
        <w:t xml:space="preserve">each </w:t>
      </w:r>
      <w:r w:rsidR="00C00315">
        <w:rPr>
          <w:sz w:val="26"/>
        </w:rPr>
        <w:t xml:space="preserve">approved compliance </w:t>
      </w:r>
      <w:r w:rsidR="00EC6E0A">
        <w:rPr>
          <w:sz w:val="26"/>
        </w:rPr>
        <w:t>review</w:t>
      </w:r>
      <w:r w:rsidR="00C00315">
        <w:rPr>
          <w:sz w:val="26"/>
        </w:rPr>
        <w:t xml:space="preserve">, </w:t>
      </w:r>
      <w:r w:rsidR="00EC6E0A">
        <w:rPr>
          <w:sz w:val="26"/>
        </w:rPr>
        <w:t xml:space="preserve">the </w:t>
      </w:r>
      <w:r w:rsidR="00EC6E0A">
        <w:rPr>
          <w:sz w:val="26"/>
        </w:rPr>
        <w:lastRenderedPageBreak/>
        <w:t xml:space="preserve">Administrator </w:t>
      </w:r>
      <w:r w:rsidR="00C00315">
        <w:rPr>
          <w:sz w:val="26"/>
        </w:rPr>
        <w:t xml:space="preserve">will submit a written report to the Commission including findings and recommended courses of action to remedy any findings of noncompliance.  </w:t>
      </w:r>
    </w:p>
    <w:p w14:paraId="64A64513" w14:textId="77777777" w:rsidR="00C00315" w:rsidRDefault="00C00315" w:rsidP="00C00315">
      <w:pPr>
        <w:overflowPunct/>
        <w:autoSpaceDE/>
        <w:autoSpaceDN/>
        <w:adjustRightInd/>
        <w:spacing w:line="360" w:lineRule="auto"/>
        <w:textAlignment w:val="auto"/>
        <w:rPr>
          <w:sz w:val="26"/>
        </w:rPr>
      </w:pPr>
    </w:p>
    <w:p w14:paraId="59B4E6BB" w14:textId="47BB9308" w:rsidR="00C00315" w:rsidRDefault="00232112" w:rsidP="002D5B8E">
      <w:pPr>
        <w:overflowPunct/>
        <w:autoSpaceDE/>
        <w:autoSpaceDN/>
        <w:adjustRightInd/>
        <w:spacing w:line="360" w:lineRule="auto"/>
        <w:ind w:firstLine="720"/>
        <w:textAlignment w:val="auto"/>
        <w:rPr>
          <w:sz w:val="26"/>
          <w:szCs w:val="26"/>
        </w:rPr>
      </w:pPr>
      <w:r>
        <w:rPr>
          <w:sz w:val="26"/>
        </w:rPr>
        <w:t>7</w:t>
      </w:r>
      <w:r w:rsidR="00C00315">
        <w:rPr>
          <w:sz w:val="26"/>
        </w:rPr>
        <w:t>.</w:t>
      </w:r>
      <w:r w:rsidR="00C00315">
        <w:rPr>
          <w:sz w:val="26"/>
        </w:rPr>
        <w:tab/>
        <w:t xml:space="preserve">That </w:t>
      </w:r>
      <w:r w:rsidR="00895FCD">
        <w:rPr>
          <w:sz w:val="26"/>
        </w:rPr>
        <w:t>the incoming Fund Administrator is authorized</w:t>
      </w:r>
      <w:r w:rsidR="00C00315">
        <w:rPr>
          <w:sz w:val="26"/>
        </w:rPr>
        <w:t xml:space="preserve"> to conduct ten “spot</w:t>
      </w:r>
      <w:r w:rsidR="00C00315">
        <w:rPr>
          <w:sz w:val="26"/>
        </w:rPr>
        <w:noBreakHyphen/>
        <w:t xml:space="preserve">check” compliance reviews of telecommunications providers whose revenues are reported as </w:t>
      </w:r>
      <w:r w:rsidR="00C00315">
        <w:rPr>
          <w:i/>
          <w:iCs/>
          <w:sz w:val="26"/>
        </w:rPr>
        <w:t>de minimis</w:t>
      </w:r>
      <w:r w:rsidR="00C00315">
        <w:rPr>
          <w:sz w:val="26"/>
        </w:rPr>
        <w:t xml:space="preserve"> for two consecutive years utilizing information gathered via Data Requests.  Upon completion of</w:t>
      </w:r>
      <w:r w:rsidR="0026295E">
        <w:rPr>
          <w:sz w:val="26"/>
        </w:rPr>
        <w:t xml:space="preserve"> </w:t>
      </w:r>
      <w:r w:rsidR="000931AC">
        <w:rPr>
          <w:sz w:val="26"/>
        </w:rPr>
        <w:t>each</w:t>
      </w:r>
      <w:r w:rsidR="00C00315">
        <w:rPr>
          <w:sz w:val="26"/>
        </w:rPr>
        <w:t xml:space="preserve"> approved compliance review, </w:t>
      </w:r>
      <w:r w:rsidR="000931AC">
        <w:rPr>
          <w:sz w:val="26"/>
        </w:rPr>
        <w:t xml:space="preserve">the Administrator </w:t>
      </w:r>
      <w:r w:rsidR="00C00315">
        <w:rPr>
          <w:sz w:val="26"/>
        </w:rPr>
        <w:t xml:space="preserve">will submit a written report to the Commission including findings and recommended courses of action to remedy any findings of noncompliance.  </w:t>
      </w:r>
    </w:p>
    <w:p w14:paraId="0C04854E" w14:textId="77777777" w:rsidR="00DF0470" w:rsidRPr="00C0451E" w:rsidRDefault="00DF0470" w:rsidP="002D5B8E">
      <w:pPr>
        <w:tabs>
          <w:tab w:val="left" w:pos="720"/>
          <w:tab w:val="left" w:pos="4320"/>
        </w:tabs>
        <w:spacing w:line="360" w:lineRule="auto"/>
        <w:rPr>
          <w:sz w:val="26"/>
          <w:szCs w:val="26"/>
        </w:rPr>
      </w:pPr>
    </w:p>
    <w:p w14:paraId="1171CD02" w14:textId="7526016C" w:rsidR="00DF0470" w:rsidRPr="00C0451E" w:rsidRDefault="00E820AA" w:rsidP="00DF0470">
      <w:pPr>
        <w:pStyle w:val="p17"/>
        <w:ind w:left="5057"/>
        <w:rPr>
          <w:b/>
          <w:bCs/>
          <w:sz w:val="26"/>
          <w:szCs w:val="26"/>
        </w:rPr>
      </w:pPr>
      <w:r w:rsidRPr="009F01BA">
        <w:rPr>
          <w:b/>
          <w:noProof/>
          <w:sz w:val="20"/>
          <w:szCs w:val="20"/>
        </w:rPr>
        <w:drawing>
          <wp:anchor distT="0" distB="0" distL="114300" distR="114300" simplePos="0" relativeHeight="251659264" behindDoc="1" locked="0" layoutInCell="1" allowOverlap="1" wp14:anchorId="438EEA2E" wp14:editId="11D07346">
            <wp:simplePos x="0" y="0"/>
            <wp:positionH relativeFrom="column">
              <wp:posOffset>3009900</wp:posOffset>
            </wp:positionH>
            <wp:positionV relativeFrom="paragraph">
              <wp:posOffset>46355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DF0470" w:rsidRPr="00C0451E">
        <w:rPr>
          <w:b/>
          <w:bCs/>
          <w:sz w:val="26"/>
          <w:szCs w:val="26"/>
        </w:rPr>
        <w:t>BY THE COMMISSION</w:t>
      </w:r>
    </w:p>
    <w:p w14:paraId="55D27023" w14:textId="44F48F30" w:rsidR="00DF0470" w:rsidRPr="00C0451E" w:rsidRDefault="00DF0470" w:rsidP="00DF0470">
      <w:pPr>
        <w:tabs>
          <w:tab w:val="left" w:pos="5057"/>
        </w:tabs>
        <w:rPr>
          <w:bCs/>
          <w:sz w:val="26"/>
          <w:szCs w:val="26"/>
        </w:rPr>
      </w:pPr>
    </w:p>
    <w:p w14:paraId="0524C137" w14:textId="77777777" w:rsidR="00DF0470" w:rsidRPr="00C0451E" w:rsidRDefault="00DF0470" w:rsidP="00DF0470">
      <w:pPr>
        <w:tabs>
          <w:tab w:val="left" w:pos="5057"/>
        </w:tabs>
        <w:rPr>
          <w:b/>
          <w:bCs/>
          <w:sz w:val="26"/>
          <w:szCs w:val="26"/>
        </w:rPr>
      </w:pPr>
    </w:p>
    <w:p w14:paraId="6E150DEE" w14:textId="77777777" w:rsidR="00DF0470" w:rsidRPr="00C0451E" w:rsidRDefault="00DF0470" w:rsidP="00DF0470">
      <w:pPr>
        <w:tabs>
          <w:tab w:val="left" w:pos="5057"/>
        </w:tabs>
        <w:rPr>
          <w:b/>
          <w:bCs/>
          <w:sz w:val="26"/>
          <w:szCs w:val="26"/>
        </w:rPr>
      </w:pPr>
    </w:p>
    <w:p w14:paraId="38C45115" w14:textId="77777777" w:rsidR="0022503C" w:rsidRPr="00C0451E" w:rsidRDefault="0022503C" w:rsidP="00DF0470">
      <w:pPr>
        <w:pStyle w:val="p18"/>
        <w:ind w:left="5062"/>
        <w:rPr>
          <w:sz w:val="26"/>
          <w:szCs w:val="26"/>
        </w:rPr>
      </w:pPr>
      <w:r w:rsidRPr="00C0451E">
        <w:rPr>
          <w:sz w:val="26"/>
          <w:szCs w:val="26"/>
        </w:rPr>
        <w:t>Rosemary Chiavetta</w:t>
      </w:r>
    </w:p>
    <w:p w14:paraId="5E676293" w14:textId="77777777" w:rsidR="00DF0470" w:rsidRPr="00C0451E" w:rsidRDefault="00DF0470" w:rsidP="00DF0470">
      <w:pPr>
        <w:pStyle w:val="p18"/>
        <w:ind w:left="5062"/>
        <w:rPr>
          <w:sz w:val="26"/>
          <w:szCs w:val="26"/>
        </w:rPr>
      </w:pPr>
      <w:r w:rsidRPr="00C0451E">
        <w:rPr>
          <w:sz w:val="26"/>
          <w:szCs w:val="26"/>
        </w:rPr>
        <w:t>Secretary</w:t>
      </w:r>
    </w:p>
    <w:p w14:paraId="3F3D9A56" w14:textId="77777777" w:rsidR="00DF0470" w:rsidRPr="00C0451E" w:rsidRDefault="00DF0470" w:rsidP="00DF0470">
      <w:pPr>
        <w:tabs>
          <w:tab w:val="left" w:pos="5062"/>
        </w:tabs>
        <w:rPr>
          <w:sz w:val="26"/>
          <w:szCs w:val="26"/>
        </w:rPr>
      </w:pPr>
    </w:p>
    <w:p w14:paraId="3956B587" w14:textId="77777777" w:rsidR="00DF0470" w:rsidRPr="00C0451E" w:rsidRDefault="00DF0470" w:rsidP="00DF0470">
      <w:pPr>
        <w:pStyle w:val="p14"/>
        <w:rPr>
          <w:sz w:val="26"/>
          <w:szCs w:val="26"/>
        </w:rPr>
      </w:pPr>
      <w:r w:rsidRPr="00C0451E">
        <w:rPr>
          <w:sz w:val="26"/>
          <w:szCs w:val="26"/>
        </w:rPr>
        <w:t>(SEAL)</w:t>
      </w:r>
    </w:p>
    <w:p w14:paraId="4E7EBF2E" w14:textId="77777777" w:rsidR="00DF0470" w:rsidRPr="00C0451E" w:rsidRDefault="00DF0470" w:rsidP="00DF0470">
      <w:pPr>
        <w:tabs>
          <w:tab w:val="left" w:pos="204"/>
        </w:tabs>
        <w:rPr>
          <w:sz w:val="26"/>
          <w:szCs w:val="26"/>
        </w:rPr>
      </w:pPr>
    </w:p>
    <w:p w14:paraId="6F7917F5" w14:textId="1EC4BDE7" w:rsidR="00DF0470" w:rsidRPr="00C0451E" w:rsidRDefault="00DF0470" w:rsidP="00BE499A">
      <w:pPr>
        <w:pStyle w:val="p14"/>
        <w:rPr>
          <w:sz w:val="26"/>
          <w:szCs w:val="26"/>
        </w:rPr>
      </w:pPr>
      <w:r w:rsidRPr="00C0451E">
        <w:rPr>
          <w:sz w:val="26"/>
          <w:szCs w:val="26"/>
        </w:rPr>
        <w:t xml:space="preserve">ORDER ADOPTED:  </w:t>
      </w:r>
      <w:r w:rsidR="00C00315">
        <w:rPr>
          <w:sz w:val="26"/>
          <w:szCs w:val="26"/>
        </w:rPr>
        <w:t>December</w:t>
      </w:r>
      <w:r w:rsidR="00582E24">
        <w:rPr>
          <w:sz w:val="26"/>
          <w:szCs w:val="26"/>
        </w:rPr>
        <w:t xml:space="preserve"> </w:t>
      </w:r>
      <w:r w:rsidR="000D6C0C">
        <w:rPr>
          <w:sz w:val="26"/>
          <w:szCs w:val="26"/>
        </w:rPr>
        <w:t>2</w:t>
      </w:r>
      <w:r w:rsidR="00C00315">
        <w:rPr>
          <w:sz w:val="26"/>
          <w:szCs w:val="26"/>
        </w:rPr>
        <w:t>,</w:t>
      </w:r>
      <w:r w:rsidR="00582E24">
        <w:rPr>
          <w:sz w:val="26"/>
          <w:szCs w:val="26"/>
        </w:rPr>
        <w:t xml:space="preserve"> </w:t>
      </w:r>
      <w:r w:rsidR="00C00315">
        <w:rPr>
          <w:sz w:val="26"/>
          <w:szCs w:val="26"/>
        </w:rPr>
        <w:t>202</w:t>
      </w:r>
      <w:r w:rsidR="000D6C0C">
        <w:rPr>
          <w:sz w:val="26"/>
          <w:szCs w:val="26"/>
        </w:rPr>
        <w:t>1</w:t>
      </w:r>
    </w:p>
    <w:p w14:paraId="13990074" w14:textId="77777777" w:rsidR="00BE499A" w:rsidRPr="00C0451E" w:rsidRDefault="00BE499A" w:rsidP="00BE499A">
      <w:pPr>
        <w:pStyle w:val="p14"/>
        <w:rPr>
          <w:sz w:val="26"/>
          <w:szCs w:val="26"/>
        </w:rPr>
      </w:pPr>
    </w:p>
    <w:p w14:paraId="6FB30BB9" w14:textId="039460C7" w:rsidR="00CD6C97" w:rsidRPr="00C0451E" w:rsidRDefault="00DF0470" w:rsidP="005A7356">
      <w:pPr>
        <w:pStyle w:val="p14"/>
        <w:rPr>
          <w:sz w:val="26"/>
          <w:szCs w:val="26"/>
        </w:rPr>
      </w:pPr>
      <w:r w:rsidRPr="00C0451E">
        <w:rPr>
          <w:sz w:val="26"/>
          <w:szCs w:val="26"/>
        </w:rPr>
        <w:t xml:space="preserve">ORDER ENTERED:  </w:t>
      </w:r>
      <w:r w:rsidR="00E820AA">
        <w:rPr>
          <w:sz w:val="26"/>
          <w:szCs w:val="26"/>
        </w:rPr>
        <w:t>December 2, 2021</w:t>
      </w:r>
    </w:p>
    <w:sectPr w:rsidR="00CD6C97" w:rsidRPr="00C0451E" w:rsidSect="00D83182">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31E2B" w14:textId="77777777" w:rsidR="006A3248" w:rsidRDefault="006A3248">
      <w:r>
        <w:separator/>
      </w:r>
    </w:p>
  </w:endnote>
  <w:endnote w:type="continuationSeparator" w:id="0">
    <w:p w14:paraId="7D06D76C" w14:textId="77777777" w:rsidR="006A3248" w:rsidRDefault="006A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7548" w14:textId="77777777" w:rsidR="006A01F9" w:rsidRDefault="006A0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124C55" w14:textId="77777777" w:rsidR="006A01F9" w:rsidRDefault="006A0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04B0" w14:textId="77777777" w:rsidR="006A01F9" w:rsidRDefault="006A0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499A">
      <w:rPr>
        <w:rStyle w:val="PageNumber"/>
        <w:noProof/>
      </w:rPr>
      <w:t>2</w:t>
    </w:r>
    <w:r>
      <w:rPr>
        <w:rStyle w:val="PageNumber"/>
      </w:rPr>
      <w:fldChar w:fldCharType="end"/>
    </w:r>
  </w:p>
  <w:p w14:paraId="421CA708" w14:textId="77777777" w:rsidR="006A01F9" w:rsidRDefault="006A01F9"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FC6C" w14:textId="77777777" w:rsidR="006A3248" w:rsidRDefault="006A3248">
      <w:r>
        <w:separator/>
      </w:r>
    </w:p>
  </w:footnote>
  <w:footnote w:type="continuationSeparator" w:id="0">
    <w:p w14:paraId="5297F504" w14:textId="77777777" w:rsidR="006A3248" w:rsidRDefault="006A3248">
      <w:r>
        <w:continuationSeparator/>
      </w:r>
    </w:p>
  </w:footnote>
  <w:footnote w:id="1">
    <w:p w14:paraId="13520855" w14:textId="4484AEFB" w:rsidR="00FE195B" w:rsidRPr="002C7B08" w:rsidRDefault="00FE195B">
      <w:pPr>
        <w:pStyle w:val="FootnoteText"/>
        <w:rPr>
          <w:sz w:val="22"/>
          <w:szCs w:val="22"/>
        </w:rPr>
      </w:pPr>
      <w:r w:rsidRPr="002C7B08">
        <w:rPr>
          <w:rStyle w:val="FootnoteReference"/>
          <w:sz w:val="22"/>
          <w:szCs w:val="22"/>
        </w:rPr>
        <w:footnoteRef/>
      </w:r>
      <w:r w:rsidRPr="002C7B08">
        <w:rPr>
          <w:sz w:val="22"/>
          <w:szCs w:val="22"/>
        </w:rPr>
        <w:t xml:space="preserve"> On August </w:t>
      </w:r>
      <w:r w:rsidR="00D839CF" w:rsidRPr="002C7B08">
        <w:rPr>
          <w:sz w:val="22"/>
          <w:szCs w:val="22"/>
        </w:rPr>
        <w:t xml:space="preserve">31, 2021, </w:t>
      </w:r>
      <w:r w:rsidR="008A2312" w:rsidRPr="002C7B08">
        <w:rPr>
          <w:sz w:val="22"/>
          <w:szCs w:val="22"/>
        </w:rPr>
        <w:t>VPS</w:t>
      </w:r>
      <w:r w:rsidR="00D839CF" w:rsidRPr="002C7B08">
        <w:rPr>
          <w:sz w:val="22"/>
          <w:szCs w:val="22"/>
        </w:rPr>
        <w:t xml:space="preserve"> </w:t>
      </w:r>
      <w:r w:rsidR="00073F1C" w:rsidRPr="002C7B08">
        <w:rPr>
          <w:sz w:val="22"/>
          <w:szCs w:val="22"/>
        </w:rPr>
        <w:t>provided an initial draft of</w:t>
      </w:r>
      <w:r w:rsidR="00DA7C93" w:rsidRPr="002C7B08">
        <w:rPr>
          <w:sz w:val="22"/>
          <w:szCs w:val="22"/>
        </w:rPr>
        <w:t xml:space="preserve"> the Administrator’s Report </w:t>
      </w:r>
      <w:r w:rsidR="002A18C1" w:rsidRPr="002C7B08">
        <w:rPr>
          <w:sz w:val="22"/>
          <w:szCs w:val="22"/>
        </w:rPr>
        <w:t>to Commiss</w:t>
      </w:r>
      <w:r w:rsidR="00EC7604" w:rsidRPr="002C7B08">
        <w:rPr>
          <w:sz w:val="22"/>
          <w:szCs w:val="22"/>
        </w:rPr>
        <w:t>ion staff</w:t>
      </w:r>
      <w:r w:rsidR="00073F1C" w:rsidRPr="002C7B08">
        <w:rPr>
          <w:sz w:val="22"/>
          <w:szCs w:val="22"/>
        </w:rPr>
        <w:t xml:space="preserve"> for review</w:t>
      </w:r>
      <w:r w:rsidR="00EC7604" w:rsidRPr="002C7B08">
        <w:rPr>
          <w:sz w:val="22"/>
          <w:szCs w:val="22"/>
        </w:rPr>
        <w:t>.</w:t>
      </w:r>
    </w:p>
  </w:footnote>
  <w:footnote w:id="2">
    <w:p w14:paraId="6EB0E63C" w14:textId="068E3BEA" w:rsidR="00C00315" w:rsidRPr="002C7B08" w:rsidRDefault="00C00315" w:rsidP="00C00315">
      <w:pPr>
        <w:pStyle w:val="FootnoteText"/>
        <w:rPr>
          <w:sz w:val="22"/>
          <w:szCs w:val="22"/>
        </w:rPr>
      </w:pPr>
      <w:r w:rsidRPr="002C7B08">
        <w:rPr>
          <w:rStyle w:val="FootnoteReference"/>
          <w:sz w:val="22"/>
          <w:szCs w:val="22"/>
        </w:rPr>
        <w:footnoteRef/>
      </w:r>
      <w:r w:rsidRPr="002C7B08">
        <w:rPr>
          <w:sz w:val="22"/>
          <w:szCs w:val="22"/>
        </w:rPr>
        <w:t xml:space="preserve"> On August 1, 2020, </w:t>
      </w:r>
      <w:r w:rsidR="00AF32C9" w:rsidRPr="002C7B08">
        <w:rPr>
          <w:sz w:val="22"/>
          <w:szCs w:val="22"/>
        </w:rPr>
        <w:t>GVNW</w:t>
      </w:r>
      <w:r w:rsidRPr="002C7B08">
        <w:rPr>
          <w:sz w:val="22"/>
          <w:szCs w:val="22"/>
        </w:rPr>
        <w:t xml:space="preserve"> Consulting, Inc. merged with Vantage Point Solutions, Inc.  The merged entity is Vantage Point Solutions, Inc., EIN 22-3860061, at 2211 North Minnesota Street, Mitchell SD 57301.  The Commission's contract with </w:t>
      </w:r>
      <w:r w:rsidR="008A2312" w:rsidRPr="002C7B08">
        <w:rPr>
          <w:sz w:val="22"/>
          <w:szCs w:val="22"/>
        </w:rPr>
        <w:t>VPS</w:t>
      </w:r>
      <w:r w:rsidRPr="002C7B08">
        <w:rPr>
          <w:sz w:val="22"/>
          <w:szCs w:val="22"/>
        </w:rPr>
        <w:t xml:space="preserve"> (now Vantage Point Solutions) was amended to reflect the name change on August 28, 2020.  </w:t>
      </w:r>
      <w:r w:rsidR="008A2312" w:rsidRPr="002C7B08">
        <w:rPr>
          <w:sz w:val="22"/>
          <w:szCs w:val="22"/>
        </w:rPr>
        <w:t>VPS</w:t>
      </w:r>
      <w:r w:rsidRPr="002C7B08">
        <w:rPr>
          <w:sz w:val="22"/>
          <w:szCs w:val="22"/>
        </w:rPr>
        <w:t xml:space="preserve"> is now referring to itself as </w:t>
      </w:r>
      <w:r w:rsidR="008A2312" w:rsidRPr="002C7B08">
        <w:rPr>
          <w:sz w:val="22"/>
          <w:szCs w:val="22"/>
        </w:rPr>
        <w:t>VPS</w:t>
      </w:r>
      <w:r w:rsidRPr="002C7B08">
        <w:rPr>
          <w:sz w:val="22"/>
          <w:szCs w:val="22"/>
        </w:rPr>
        <w:t>, a Vantage Point Solutions Company.</w:t>
      </w:r>
    </w:p>
  </w:footnote>
  <w:footnote w:id="3">
    <w:p w14:paraId="137D87F5" w14:textId="77777777" w:rsidR="00C00315" w:rsidRPr="002C7B08" w:rsidRDefault="00C00315" w:rsidP="00C00315">
      <w:pPr>
        <w:pStyle w:val="FootnoteText"/>
        <w:rPr>
          <w:sz w:val="22"/>
          <w:szCs w:val="22"/>
        </w:rPr>
      </w:pPr>
      <w:r w:rsidRPr="002C7B08">
        <w:rPr>
          <w:rStyle w:val="FootnoteReference"/>
          <w:sz w:val="22"/>
          <w:szCs w:val="22"/>
        </w:rPr>
        <w:footnoteRef/>
      </w:r>
      <w:r w:rsidRPr="002C7B08">
        <w:rPr>
          <w:sz w:val="22"/>
          <w:szCs w:val="22"/>
        </w:rPr>
        <w:t xml:space="preserve">  The Commission previously adopted this methodology in its 2010 Annual Rate Adjustment Order, </w:t>
      </w:r>
      <w:r w:rsidRPr="002C7B08">
        <w:rPr>
          <w:i/>
          <w:sz w:val="22"/>
          <w:szCs w:val="22"/>
        </w:rPr>
        <w:t xml:space="preserve">In re: Pennsylvania Universal Service Fund Annual Rate Adjustment, </w:t>
      </w:r>
      <w:r w:rsidRPr="002C7B08">
        <w:rPr>
          <w:sz w:val="22"/>
          <w:szCs w:val="22"/>
        </w:rPr>
        <w:t>Docket No. M-00001337 (Order entered December 3, 2010).</w:t>
      </w:r>
    </w:p>
  </w:footnote>
  <w:footnote w:id="4">
    <w:p w14:paraId="087EC742" w14:textId="3C4F82A6" w:rsidR="0080515D" w:rsidRPr="007C1C22" w:rsidRDefault="0080515D">
      <w:pPr>
        <w:pStyle w:val="FootnoteText"/>
        <w:rPr>
          <w:sz w:val="22"/>
          <w:szCs w:val="22"/>
        </w:rPr>
      </w:pPr>
      <w:r w:rsidRPr="007C1C22">
        <w:rPr>
          <w:rStyle w:val="FootnoteReference"/>
          <w:sz w:val="22"/>
          <w:szCs w:val="22"/>
        </w:rPr>
        <w:footnoteRef/>
      </w:r>
      <w:r w:rsidRPr="007C1C22">
        <w:rPr>
          <w:sz w:val="22"/>
          <w:szCs w:val="22"/>
        </w:rPr>
        <w:t xml:space="preserve"> 52 Pa. Code § 63.165(a).</w:t>
      </w:r>
    </w:p>
  </w:footnote>
  <w:footnote w:id="5">
    <w:p w14:paraId="6780D4EB" w14:textId="25268394" w:rsidR="0058369E" w:rsidRPr="007C1C22" w:rsidRDefault="0058369E">
      <w:pPr>
        <w:pStyle w:val="FootnoteText"/>
        <w:rPr>
          <w:sz w:val="22"/>
          <w:szCs w:val="22"/>
        </w:rPr>
      </w:pPr>
      <w:r w:rsidRPr="007C1C22">
        <w:rPr>
          <w:rStyle w:val="FootnoteReference"/>
          <w:sz w:val="22"/>
          <w:szCs w:val="22"/>
        </w:rPr>
        <w:footnoteRef/>
      </w:r>
      <w:r w:rsidRPr="007C1C22">
        <w:rPr>
          <w:sz w:val="22"/>
          <w:szCs w:val="22"/>
        </w:rPr>
        <w:t xml:space="preserve"> </w:t>
      </w:r>
      <w:r w:rsidRPr="007C1C22">
        <w:rPr>
          <w:bCs/>
          <w:i/>
          <w:iCs/>
          <w:sz w:val="22"/>
          <w:szCs w:val="22"/>
        </w:rPr>
        <w:t>Re: Suspension of Regulatory and Statutory Deadlines; Modification to Filing and Service Requirements</w:t>
      </w:r>
      <w:r w:rsidRPr="007C1C22">
        <w:rPr>
          <w:b/>
          <w:bCs/>
          <w:sz w:val="22"/>
          <w:szCs w:val="22"/>
        </w:rPr>
        <w:t xml:space="preserve">, </w:t>
      </w:r>
      <w:r w:rsidRPr="007C1C22">
        <w:rPr>
          <w:bCs/>
          <w:sz w:val="22"/>
          <w:szCs w:val="22"/>
        </w:rPr>
        <w:t>Emergency Order, Docket No. M-2020-3019262, (Order entered March 20, 2020)</w:t>
      </w:r>
      <w:r w:rsidR="00563052" w:rsidRPr="007C1C22">
        <w:rPr>
          <w:bCs/>
          <w:sz w:val="22"/>
          <w:szCs w:val="22"/>
        </w:rPr>
        <w:t>.</w:t>
      </w:r>
    </w:p>
  </w:footnote>
  <w:footnote w:id="6">
    <w:p w14:paraId="40F264A7" w14:textId="5F10E1C4" w:rsidR="00D11E52" w:rsidRPr="000219C6" w:rsidRDefault="00D11E52">
      <w:pPr>
        <w:pStyle w:val="FootnoteText"/>
        <w:rPr>
          <w:sz w:val="22"/>
          <w:szCs w:val="22"/>
        </w:rPr>
      </w:pPr>
      <w:r w:rsidRPr="000219C6">
        <w:rPr>
          <w:rStyle w:val="FootnoteReference"/>
          <w:sz w:val="22"/>
          <w:szCs w:val="22"/>
        </w:rPr>
        <w:footnoteRef/>
      </w:r>
      <w:r w:rsidRPr="000219C6">
        <w:rPr>
          <w:sz w:val="22"/>
          <w:szCs w:val="22"/>
        </w:rPr>
        <w:t xml:space="preserve"> </w:t>
      </w:r>
      <w:r w:rsidRPr="000219C6">
        <w:rPr>
          <w:i/>
          <w:iCs/>
          <w:sz w:val="22"/>
          <w:szCs w:val="22"/>
        </w:rPr>
        <w:t>De minimis</w:t>
      </w:r>
      <w:r w:rsidRPr="000219C6">
        <w:rPr>
          <w:sz w:val="22"/>
          <w:szCs w:val="22"/>
        </w:rPr>
        <w:t xml:space="preserve"> carriers are defined as those telecommunications providers whose contributions to the Fund in a given year are less than $120 and, therefore, are not required to submit a contribution.</w:t>
      </w:r>
    </w:p>
  </w:footnote>
  <w:footnote w:id="7">
    <w:p w14:paraId="2A867CFA" w14:textId="783179FB" w:rsidR="00A034E8" w:rsidRPr="00FA52CF" w:rsidRDefault="00A034E8">
      <w:pPr>
        <w:pStyle w:val="FootnoteText"/>
        <w:rPr>
          <w:sz w:val="22"/>
          <w:szCs w:val="22"/>
        </w:rPr>
      </w:pPr>
      <w:r w:rsidRPr="00FA52CF">
        <w:rPr>
          <w:rStyle w:val="FootnoteReference"/>
          <w:sz w:val="22"/>
          <w:szCs w:val="22"/>
        </w:rPr>
        <w:footnoteRef/>
      </w:r>
      <w:r w:rsidRPr="00FA52CF">
        <w:rPr>
          <w:sz w:val="22"/>
          <w:szCs w:val="22"/>
        </w:rPr>
        <w:t xml:space="preserve"> </w:t>
      </w:r>
      <w:r w:rsidRPr="002C7B08">
        <w:rPr>
          <w:sz w:val="22"/>
          <w:szCs w:val="22"/>
        </w:rPr>
        <w:t xml:space="preserve">The fund balance is projected to increase due to two companies revising their annual reporting for prior years and paying additional contribution amounts, resulting in an anticipated year-end fund balance greater </w:t>
      </w:r>
      <w:r w:rsidR="0026295E" w:rsidRPr="002C7B08">
        <w:rPr>
          <w:sz w:val="22"/>
          <w:szCs w:val="22"/>
        </w:rPr>
        <w:t>than</w:t>
      </w:r>
      <w:r w:rsidRPr="002C7B08">
        <w:rPr>
          <w:sz w:val="22"/>
          <w:szCs w:val="22"/>
        </w:rPr>
        <w:t xml:space="preserve"> $1.5 million</w:t>
      </w:r>
      <w:r w:rsidRPr="00FA52CF">
        <w:rPr>
          <w:sz w:val="22"/>
          <w:szCs w:val="22"/>
        </w:rPr>
        <w:t>.</w:t>
      </w:r>
    </w:p>
  </w:footnote>
  <w:footnote w:id="8">
    <w:p w14:paraId="04754B94" w14:textId="77777777" w:rsidR="00C00315" w:rsidRPr="002C7B08" w:rsidRDefault="00C00315" w:rsidP="00C00315">
      <w:pPr>
        <w:pStyle w:val="FootnoteText"/>
        <w:rPr>
          <w:sz w:val="22"/>
          <w:szCs w:val="22"/>
        </w:rPr>
      </w:pPr>
      <w:r w:rsidRPr="002C7B08">
        <w:rPr>
          <w:rStyle w:val="FootnoteReference"/>
          <w:sz w:val="22"/>
          <w:szCs w:val="22"/>
        </w:rPr>
        <w:footnoteRef/>
      </w:r>
      <w:r w:rsidRPr="002C7B08">
        <w:rPr>
          <w:sz w:val="22"/>
          <w:szCs w:val="22"/>
        </w:rPr>
        <w:t xml:space="preserve"> Annual support projections are based upon annual reports submitted by the recipient carriers. </w:t>
      </w:r>
    </w:p>
  </w:footnote>
  <w:footnote w:id="9">
    <w:p w14:paraId="22E12E8E" w14:textId="77777777" w:rsidR="00C00315" w:rsidRPr="002C7B08" w:rsidRDefault="00C00315" w:rsidP="00C00315">
      <w:pPr>
        <w:pStyle w:val="FootnoteText"/>
        <w:rPr>
          <w:sz w:val="22"/>
          <w:szCs w:val="22"/>
        </w:rPr>
      </w:pPr>
      <w:r w:rsidRPr="002C7B08">
        <w:rPr>
          <w:rStyle w:val="FootnoteReference"/>
          <w:sz w:val="22"/>
          <w:szCs w:val="22"/>
        </w:rPr>
        <w:footnoteRef/>
      </w:r>
      <w:r w:rsidRPr="002C7B08">
        <w:rPr>
          <w:sz w:val="22"/>
          <w:szCs w:val="22"/>
        </w:rPr>
        <w:t xml:space="preserve"> This projection is based upon the contracted administrator’s fee of $</w:t>
      </w:r>
      <w:r w:rsidR="00A034E8" w:rsidRPr="002C7B08">
        <w:rPr>
          <w:sz w:val="22"/>
          <w:szCs w:val="22"/>
        </w:rPr>
        <w:t>100,500</w:t>
      </w:r>
      <w:r w:rsidRPr="002C7B08">
        <w:rPr>
          <w:sz w:val="22"/>
          <w:szCs w:val="22"/>
        </w:rPr>
        <w:t xml:space="preserve"> for calendar year 202</w:t>
      </w:r>
      <w:r w:rsidR="00A034E8" w:rsidRPr="002C7B08">
        <w:rPr>
          <w:sz w:val="22"/>
          <w:szCs w:val="22"/>
        </w:rPr>
        <w:t>2</w:t>
      </w:r>
      <w:r w:rsidRPr="002C7B08">
        <w:rPr>
          <w:sz w:val="22"/>
          <w:szCs w:val="22"/>
        </w:rPr>
        <w:t xml:space="preserve"> plus $2</w:t>
      </w:r>
      <w:r w:rsidR="00A034E8" w:rsidRPr="002C7B08">
        <w:rPr>
          <w:sz w:val="22"/>
          <w:szCs w:val="22"/>
        </w:rPr>
        <w:t>1,000</w:t>
      </w:r>
      <w:r w:rsidRPr="002C7B08">
        <w:rPr>
          <w:sz w:val="22"/>
          <w:szCs w:val="22"/>
        </w:rPr>
        <w:t xml:space="preserve"> needed for the external auditor’s fees in 202</w:t>
      </w:r>
      <w:r w:rsidR="00A034E8" w:rsidRPr="002C7B08">
        <w:rPr>
          <w:sz w:val="22"/>
          <w:szCs w:val="22"/>
        </w:rPr>
        <w:t xml:space="preserve">2 plus </w:t>
      </w:r>
      <w:r w:rsidR="002E0D2E" w:rsidRPr="002C7B08">
        <w:rPr>
          <w:sz w:val="22"/>
          <w:szCs w:val="22"/>
        </w:rPr>
        <w:t>$65,600 for the Carrier reviews</w:t>
      </w:r>
      <w:r w:rsidRPr="002C7B08">
        <w:rPr>
          <w:sz w:val="22"/>
          <w:szCs w:val="22"/>
        </w:rPr>
        <w:t xml:space="preserve">  </w:t>
      </w:r>
    </w:p>
  </w:footnote>
  <w:footnote w:id="10">
    <w:p w14:paraId="33C3C37F" w14:textId="77777777" w:rsidR="00C00315" w:rsidRPr="002C7B08" w:rsidRDefault="00C00315" w:rsidP="00C00315">
      <w:pPr>
        <w:pStyle w:val="FootnoteText"/>
        <w:rPr>
          <w:sz w:val="22"/>
          <w:szCs w:val="22"/>
        </w:rPr>
      </w:pPr>
      <w:r w:rsidRPr="002C7B08">
        <w:rPr>
          <w:rStyle w:val="FootnoteReference"/>
          <w:sz w:val="22"/>
          <w:szCs w:val="22"/>
        </w:rPr>
        <w:footnoteRef/>
      </w:r>
      <w:r w:rsidRPr="002C7B08">
        <w:rPr>
          <w:sz w:val="22"/>
          <w:szCs w:val="22"/>
        </w:rPr>
        <w:t xml:space="preserve"> This represents the 5% contingency for </w:t>
      </w:r>
      <w:proofErr w:type="spellStart"/>
      <w:r w:rsidRPr="002C7B08">
        <w:rPr>
          <w:sz w:val="22"/>
          <w:szCs w:val="22"/>
        </w:rPr>
        <w:t>uncollectibles</w:t>
      </w:r>
      <w:proofErr w:type="spellEnd"/>
      <w:r w:rsidRPr="002C7B08">
        <w:rPr>
          <w:sz w:val="22"/>
          <w:szCs w:val="22"/>
        </w:rPr>
        <w:t xml:space="preserve"> over the year 202</w:t>
      </w:r>
      <w:r w:rsidR="00A034E8" w:rsidRPr="002C7B08">
        <w:rPr>
          <w:sz w:val="22"/>
          <w:szCs w:val="22"/>
        </w:rPr>
        <w:t>1</w:t>
      </w:r>
      <w:r w:rsidRPr="002C7B08">
        <w:rPr>
          <w:sz w:val="22"/>
          <w:szCs w:val="22"/>
        </w:rPr>
        <w:t>.</w:t>
      </w:r>
    </w:p>
  </w:footnote>
  <w:footnote w:id="11">
    <w:p w14:paraId="05F2BAD1" w14:textId="01D50EE5" w:rsidR="001A3DED" w:rsidRPr="007152D7" w:rsidRDefault="001A3DED">
      <w:pPr>
        <w:pStyle w:val="FootnoteText"/>
        <w:rPr>
          <w:sz w:val="22"/>
          <w:szCs w:val="22"/>
        </w:rPr>
      </w:pPr>
      <w:r w:rsidRPr="007152D7">
        <w:rPr>
          <w:rStyle w:val="FootnoteReference"/>
          <w:sz w:val="22"/>
          <w:szCs w:val="22"/>
        </w:rPr>
        <w:footnoteRef/>
      </w:r>
      <w:r w:rsidRPr="007152D7">
        <w:rPr>
          <w:sz w:val="22"/>
          <w:szCs w:val="22"/>
        </w:rPr>
        <w:t xml:space="preserve"> ViaSat, an interconnected VoIP services provider, </w:t>
      </w:r>
      <w:r w:rsidR="0075522B" w:rsidRPr="007152D7">
        <w:rPr>
          <w:sz w:val="22"/>
          <w:szCs w:val="22"/>
        </w:rPr>
        <w:t xml:space="preserve">has not been certificated by the Commission.  However, ViaSat </w:t>
      </w:r>
      <w:r w:rsidRPr="007152D7">
        <w:rPr>
          <w:sz w:val="22"/>
          <w:szCs w:val="22"/>
        </w:rPr>
        <w:t>was designated as an eligible telecommunications carrier (ETC) by the Commission so that it could become eligible to receive federal universal service high-cost support in order to provide voice telecommunications service and broadband internet access services (BIAS) in certain eligible census blocks located throughout Pennsylvania.</w:t>
      </w:r>
      <w:r w:rsidR="005D5ADF" w:rsidRPr="007152D7">
        <w:rPr>
          <w:sz w:val="22"/>
          <w:szCs w:val="22"/>
        </w:rPr>
        <w:t xml:space="preserve">  As a condition to receiving its ETC designation, the Commission directed ViaSat to begin to contribute to the </w:t>
      </w:r>
      <w:proofErr w:type="spellStart"/>
      <w:r w:rsidR="005D5ADF" w:rsidRPr="007152D7">
        <w:rPr>
          <w:sz w:val="22"/>
          <w:szCs w:val="22"/>
        </w:rPr>
        <w:t>PaUSF</w:t>
      </w:r>
      <w:proofErr w:type="spellEnd"/>
      <w:r w:rsidR="005D5ADF" w:rsidRPr="007152D7">
        <w:rPr>
          <w:sz w:val="22"/>
          <w:szCs w:val="22"/>
        </w:rPr>
        <w:t xml:space="preserve"> </w:t>
      </w:r>
      <w:r w:rsidR="00C04C2D" w:rsidRPr="007152D7">
        <w:rPr>
          <w:sz w:val="22"/>
          <w:szCs w:val="22"/>
        </w:rPr>
        <w:t>consistent</w:t>
      </w:r>
      <w:r w:rsidR="005F166C" w:rsidRPr="007152D7">
        <w:rPr>
          <w:sz w:val="22"/>
          <w:szCs w:val="22"/>
        </w:rPr>
        <w:t xml:space="preserve"> with</w:t>
      </w:r>
      <w:r w:rsidR="005D5ADF" w:rsidRPr="007152D7">
        <w:rPr>
          <w:sz w:val="22"/>
          <w:szCs w:val="22"/>
        </w:rPr>
        <w:t xml:space="preserve"> 73 P.S. § 2251.6(1)(iii).</w:t>
      </w:r>
    </w:p>
  </w:footnote>
  <w:footnote w:id="12">
    <w:p w14:paraId="36959797" w14:textId="62C4D8D5" w:rsidR="005C7BA1" w:rsidRPr="00F110C1" w:rsidRDefault="005C7BA1" w:rsidP="005C7BA1">
      <w:pPr>
        <w:pStyle w:val="FootnoteText"/>
        <w:rPr>
          <w:sz w:val="22"/>
          <w:szCs w:val="22"/>
        </w:rPr>
      </w:pPr>
      <w:r w:rsidRPr="008C7014">
        <w:rPr>
          <w:rStyle w:val="FootnoteReference"/>
          <w:sz w:val="22"/>
          <w:szCs w:val="22"/>
        </w:rPr>
        <w:footnoteRef/>
      </w:r>
      <w:r w:rsidRPr="008C7014">
        <w:rPr>
          <w:sz w:val="22"/>
          <w:szCs w:val="22"/>
        </w:rPr>
        <w:t xml:space="preserve"> Recently, the Commission tentatively concluded that the Voice-over-Internet Protocol Freedom Act (VoIP Freedom Act) prohibits the Commission from granting CPCs to interconnected VoIP service providers operating in the Commonwealth.  </w:t>
      </w:r>
      <w:r w:rsidRPr="008C7014">
        <w:rPr>
          <w:i/>
          <w:iCs/>
          <w:sz w:val="22"/>
          <w:szCs w:val="22"/>
        </w:rPr>
        <w:t>See</w:t>
      </w:r>
      <w:r w:rsidRPr="008C7014">
        <w:rPr>
          <w:sz w:val="22"/>
          <w:szCs w:val="22"/>
        </w:rPr>
        <w:t xml:space="preserve"> </w:t>
      </w:r>
      <w:r w:rsidRPr="008C7014">
        <w:rPr>
          <w:i/>
          <w:iCs/>
          <w:sz w:val="22"/>
          <w:szCs w:val="22"/>
        </w:rPr>
        <w:t>Application of Service Electric Cable T.V., Inc. for Approval to Offer, Render, Furnish, or Supply Telecommunications Services to the Public as a Competitive Local Exchange Carrier in the Service Territories of all thirty-five Incumbent Local Exchange Carriers within the Commonwealth of Pennsylvania</w:t>
      </w:r>
      <w:r w:rsidRPr="008C7014">
        <w:rPr>
          <w:sz w:val="22"/>
          <w:szCs w:val="22"/>
        </w:rPr>
        <w:t>, Docket No. A</w:t>
      </w:r>
      <w:r w:rsidRPr="008C7014">
        <w:rPr>
          <w:sz w:val="22"/>
          <w:szCs w:val="22"/>
        </w:rPr>
        <w:noBreakHyphen/>
        <w:t>2021</w:t>
      </w:r>
      <w:r w:rsidRPr="008C7014">
        <w:rPr>
          <w:sz w:val="22"/>
          <w:szCs w:val="22"/>
        </w:rPr>
        <w:noBreakHyphen/>
        <w:t>3026335 (Motion of Vice Chairman John F. Coleman, Jr. adopted November 18,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4E0F48"/>
    <w:lvl w:ilvl="0">
      <w:numFmt w:val="bullet"/>
      <w:lvlText w:val="*"/>
      <w:lvlJc w:val="left"/>
      <w:pPr>
        <w:ind w:left="0" w:firstLine="0"/>
      </w:pPr>
    </w:lvl>
  </w:abstractNum>
  <w:abstractNum w:abstractNumId="1" w15:restartNumberingAfterBreak="0">
    <w:nsid w:val="370B604E"/>
    <w:multiLevelType w:val="hybridMultilevel"/>
    <w:tmpl w:val="AF249A1E"/>
    <w:lvl w:ilvl="0" w:tplc="8BD62304">
      <w:start w:val="5"/>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D4"/>
    <w:rsid w:val="0000186B"/>
    <w:rsid w:val="00003AFB"/>
    <w:rsid w:val="00004A88"/>
    <w:rsid w:val="000057FC"/>
    <w:rsid w:val="000219C6"/>
    <w:rsid w:val="00021EDA"/>
    <w:rsid w:val="00022A9B"/>
    <w:rsid w:val="0002651F"/>
    <w:rsid w:val="00026570"/>
    <w:rsid w:val="0003771A"/>
    <w:rsid w:val="00040FE8"/>
    <w:rsid w:val="0004499F"/>
    <w:rsid w:val="0005454D"/>
    <w:rsid w:val="00057209"/>
    <w:rsid w:val="00061DA4"/>
    <w:rsid w:val="00061E62"/>
    <w:rsid w:val="00061ECE"/>
    <w:rsid w:val="000675A4"/>
    <w:rsid w:val="00073F1C"/>
    <w:rsid w:val="00075AC0"/>
    <w:rsid w:val="00077003"/>
    <w:rsid w:val="000811B9"/>
    <w:rsid w:val="00092C0A"/>
    <w:rsid w:val="000931AC"/>
    <w:rsid w:val="000938BB"/>
    <w:rsid w:val="000A6AC7"/>
    <w:rsid w:val="000B20C0"/>
    <w:rsid w:val="000B6EDB"/>
    <w:rsid w:val="000C3221"/>
    <w:rsid w:val="000C47A5"/>
    <w:rsid w:val="000D6C0C"/>
    <w:rsid w:val="000E3ECD"/>
    <w:rsid w:val="00107AB8"/>
    <w:rsid w:val="001119EF"/>
    <w:rsid w:val="001126B7"/>
    <w:rsid w:val="00123E3C"/>
    <w:rsid w:val="001339A3"/>
    <w:rsid w:val="00142828"/>
    <w:rsid w:val="0015549B"/>
    <w:rsid w:val="00190603"/>
    <w:rsid w:val="001A3DED"/>
    <w:rsid w:val="001A4266"/>
    <w:rsid w:val="001A5073"/>
    <w:rsid w:val="001A5DAC"/>
    <w:rsid w:val="001B253A"/>
    <w:rsid w:val="001B52C8"/>
    <w:rsid w:val="001B6DC1"/>
    <w:rsid w:val="001B7588"/>
    <w:rsid w:val="001D3AE8"/>
    <w:rsid w:val="001E3846"/>
    <w:rsid w:val="001F420C"/>
    <w:rsid w:val="002027FC"/>
    <w:rsid w:val="0020558C"/>
    <w:rsid w:val="00205597"/>
    <w:rsid w:val="00214C36"/>
    <w:rsid w:val="00217EF7"/>
    <w:rsid w:val="00223465"/>
    <w:rsid w:val="0022503C"/>
    <w:rsid w:val="00225FD0"/>
    <w:rsid w:val="00226888"/>
    <w:rsid w:val="00232112"/>
    <w:rsid w:val="00233B2E"/>
    <w:rsid w:val="00244D64"/>
    <w:rsid w:val="00245608"/>
    <w:rsid w:val="00246328"/>
    <w:rsid w:val="002467CF"/>
    <w:rsid w:val="00250087"/>
    <w:rsid w:val="00251487"/>
    <w:rsid w:val="00251C6E"/>
    <w:rsid w:val="00257613"/>
    <w:rsid w:val="002621E7"/>
    <w:rsid w:val="0026295E"/>
    <w:rsid w:val="002658A3"/>
    <w:rsid w:val="00287936"/>
    <w:rsid w:val="00287A19"/>
    <w:rsid w:val="00290A3D"/>
    <w:rsid w:val="00296F0D"/>
    <w:rsid w:val="002A18C1"/>
    <w:rsid w:val="002A23AC"/>
    <w:rsid w:val="002A44F9"/>
    <w:rsid w:val="002A50C7"/>
    <w:rsid w:val="002B18E0"/>
    <w:rsid w:val="002B49E8"/>
    <w:rsid w:val="002C30F7"/>
    <w:rsid w:val="002C53CE"/>
    <w:rsid w:val="002C7630"/>
    <w:rsid w:val="002C7B08"/>
    <w:rsid w:val="002D3457"/>
    <w:rsid w:val="002D5B8E"/>
    <w:rsid w:val="002E0D2E"/>
    <w:rsid w:val="002E2B14"/>
    <w:rsid w:val="002F2F85"/>
    <w:rsid w:val="002F7691"/>
    <w:rsid w:val="00301072"/>
    <w:rsid w:val="00304809"/>
    <w:rsid w:val="00314C3A"/>
    <w:rsid w:val="00316155"/>
    <w:rsid w:val="00317F0F"/>
    <w:rsid w:val="00326CED"/>
    <w:rsid w:val="00327881"/>
    <w:rsid w:val="00332789"/>
    <w:rsid w:val="00340216"/>
    <w:rsid w:val="00342D3F"/>
    <w:rsid w:val="0035040B"/>
    <w:rsid w:val="00350758"/>
    <w:rsid w:val="00353A13"/>
    <w:rsid w:val="0035521C"/>
    <w:rsid w:val="00362811"/>
    <w:rsid w:val="00362F35"/>
    <w:rsid w:val="00362FD8"/>
    <w:rsid w:val="00364664"/>
    <w:rsid w:val="0037498A"/>
    <w:rsid w:val="0037799E"/>
    <w:rsid w:val="003852C6"/>
    <w:rsid w:val="003A6228"/>
    <w:rsid w:val="003D1BF2"/>
    <w:rsid w:val="003D3563"/>
    <w:rsid w:val="003D5A1D"/>
    <w:rsid w:val="003E158F"/>
    <w:rsid w:val="003F243D"/>
    <w:rsid w:val="003F769C"/>
    <w:rsid w:val="00404D04"/>
    <w:rsid w:val="00432646"/>
    <w:rsid w:val="00440BCF"/>
    <w:rsid w:val="00443560"/>
    <w:rsid w:val="004465AE"/>
    <w:rsid w:val="00454907"/>
    <w:rsid w:val="004746E0"/>
    <w:rsid w:val="004768B5"/>
    <w:rsid w:val="0047775D"/>
    <w:rsid w:val="00477876"/>
    <w:rsid w:val="0049308D"/>
    <w:rsid w:val="004A58B5"/>
    <w:rsid w:val="004A6BB6"/>
    <w:rsid w:val="004A7A0D"/>
    <w:rsid w:val="004B0D2B"/>
    <w:rsid w:val="004B69D5"/>
    <w:rsid w:val="004C19D6"/>
    <w:rsid w:val="004C7B79"/>
    <w:rsid w:val="004D15F4"/>
    <w:rsid w:val="004D69AF"/>
    <w:rsid w:val="004D7F43"/>
    <w:rsid w:val="004E0743"/>
    <w:rsid w:val="004E4C6F"/>
    <w:rsid w:val="004E58A5"/>
    <w:rsid w:val="004F089F"/>
    <w:rsid w:val="004F2CB5"/>
    <w:rsid w:val="004F370A"/>
    <w:rsid w:val="004F63FF"/>
    <w:rsid w:val="00504C51"/>
    <w:rsid w:val="005155F2"/>
    <w:rsid w:val="005202AF"/>
    <w:rsid w:val="00520427"/>
    <w:rsid w:val="00523A8C"/>
    <w:rsid w:val="0052463C"/>
    <w:rsid w:val="00524B6D"/>
    <w:rsid w:val="0052639C"/>
    <w:rsid w:val="00530157"/>
    <w:rsid w:val="00534243"/>
    <w:rsid w:val="00534D44"/>
    <w:rsid w:val="00541523"/>
    <w:rsid w:val="005430BC"/>
    <w:rsid w:val="005529E9"/>
    <w:rsid w:val="00563052"/>
    <w:rsid w:val="00570C70"/>
    <w:rsid w:val="00571027"/>
    <w:rsid w:val="00572CCC"/>
    <w:rsid w:val="00576F36"/>
    <w:rsid w:val="005823FC"/>
    <w:rsid w:val="00582E24"/>
    <w:rsid w:val="0058369E"/>
    <w:rsid w:val="00584593"/>
    <w:rsid w:val="005864B5"/>
    <w:rsid w:val="005A1A20"/>
    <w:rsid w:val="005A6FCE"/>
    <w:rsid w:val="005A7356"/>
    <w:rsid w:val="005C2527"/>
    <w:rsid w:val="005C7BA1"/>
    <w:rsid w:val="005D03E0"/>
    <w:rsid w:val="005D09FC"/>
    <w:rsid w:val="005D2C52"/>
    <w:rsid w:val="005D5ADF"/>
    <w:rsid w:val="005F166C"/>
    <w:rsid w:val="005F1C61"/>
    <w:rsid w:val="005F3889"/>
    <w:rsid w:val="005F3992"/>
    <w:rsid w:val="005F4E62"/>
    <w:rsid w:val="005F7560"/>
    <w:rsid w:val="00600A17"/>
    <w:rsid w:val="006023AF"/>
    <w:rsid w:val="006027A7"/>
    <w:rsid w:val="0060403A"/>
    <w:rsid w:val="006048E2"/>
    <w:rsid w:val="00613242"/>
    <w:rsid w:val="00613CD5"/>
    <w:rsid w:val="006142CB"/>
    <w:rsid w:val="006152A9"/>
    <w:rsid w:val="00621EEE"/>
    <w:rsid w:val="00622AFA"/>
    <w:rsid w:val="00624CCB"/>
    <w:rsid w:val="00626EBD"/>
    <w:rsid w:val="006346F8"/>
    <w:rsid w:val="00636875"/>
    <w:rsid w:val="00647FDC"/>
    <w:rsid w:val="00654F65"/>
    <w:rsid w:val="00656444"/>
    <w:rsid w:val="00664271"/>
    <w:rsid w:val="006705E2"/>
    <w:rsid w:val="00675C5C"/>
    <w:rsid w:val="00685A05"/>
    <w:rsid w:val="00690B3A"/>
    <w:rsid w:val="00697266"/>
    <w:rsid w:val="006A01F9"/>
    <w:rsid w:val="006A3248"/>
    <w:rsid w:val="006B1962"/>
    <w:rsid w:val="006B2984"/>
    <w:rsid w:val="006B77BE"/>
    <w:rsid w:val="006C0E97"/>
    <w:rsid w:val="006C48B0"/>
    <w:rsid w:val="006C4CDD"/>
    <w:rsid w:val="006E1CC0"/>
    <w:rsid w:val="006E4167"/>
    <w:rsid w:val="006E5628"/>
    <w:rsid w:val="006E5824"/>
    <w:rsid w:val="006F1834"/>
    <w:rsid w:val="006F2DDC"/>
    <w:rsid w:val="006F3404"/>
    <w:rsid w:val="006F6281"/>
    <w:rsid w:val="00700A60"/>
    <w:rsid w:val="00710C53"/>
    <w:rsid w:val="007152D7"/>
    <w:rsid w:val="007224E2"/>
    <w:rsid w:val="0072382F"/>
    <w:rsid w:val="007245FF"/>
    <w:rsid w:val="00733850"/>
    <w:rsid w:val="00747283"/>
    <w:rsid w:val="00753E99"/>
    <w:rsid w:val="0075522B"/>
    <w:rsid w:val="00757709"/>
    <w:rsid w:val="007632B0"/>
    <w:rsid w:val="00770078"/>
    <w:rsid w:val="00772E05"/>
    <w:rsid w:val="00776F80"/>
    <w:rsid w:val="00784BAA"/>
    <w:rsid w:val="00786978"/>
    <w:rsid w:val="00790B52"/>
    <w:rsid w:val="00793956"/>
    <w:rsid w:val="007A5D2E"/>
    <w:rsid w:val="007A62AD"/>
    <w:rsid w:val="007B2569"/>
    <w:rsid w:val="007B744C"/>
    <w:rsid w:val="007C1C22"/>
    <w:rsid w:val="007D2A0F"/>
    <w:rsid w:val="007D368E"/>
    <w:rsid w:val="007D3CD9"/>
    <w:rsid w:val="007D65AA"/>
    <w:rsid w:val="007E6598"/>
    <w:rsid w:val="007E707C"/>
    <w:rsid w:val="007F20F0"/>
    <w:rsid w:val="007F2A58"/>
    <w:rsid w:val="007F30A6"/>
    <w:rsid w:val="007F37C1"/>
    <w:rsid w:val="0080515D"/>
    <w:rsid w:val="0080524E"/>
    <w:rsid w:val="00806E34"/>
    <w:rsid w:val="008146C4"/>
    <w:rsid w:val="00816287"/>
    <w:rsid w:val="00831FEB"/>
    <w:rsid w:val="00832DA9"/>
    <w:rsid w:val="00835BE7"/>
    <w:rsid w:val="0085249E"/>
    <w:rsid w:val="00854F83"/>
    <w:rsid w:val="00871621"/>
    <w:rsid w:val="008813CC"/>
    <w:rsid w:val="00881B07"/>
    <w:rsid w:val="00882F5B"/>
    <w:rsid w:val="008844AF"/>
    <w:rsid w:val="00895FCD"/>
    <w:rsid w:val="0089602C"/>
    <w:rsid w:val="008A2312"/>
    <w:rsid w:val="008A3549"/>
    <w:rsid w:val="008B349E"/>
    <w:rsid w:val="008B5653"/>
    <w:rsid w:val="008C35E0"/>
    <w:rsid w:val="008C7014"/>
    <w:rsid w:val="008C7ABF"/>
    <w:rsid w:val="008E4765"/>
    <w:rsid w:val="008F04ED"/>
    <w:rsid w:val="008F6169"/>
    <w:rsid w:val="00902D07"/>
    <w:rsid w:val="00914957"/>
    <w:rsid w:val="00917A5F"/>
    <w:rsid w:val="009205C7"/>
    <w:rsid w:val="0092202D"/>
    <w:rsid w:val="009248F5"/>
    <w:rsid w:val="00925285"/>
    <w:rsid w:val="009258CF"/>
    <w:rsid w:val="009368D0"/>
    <w:rsid w:val="00941451"/>
    <w:rsid w:val="009525F0"/>
    <w:rsid w:val="00976012"/>
    <w:rsid w:val="009805AD"/>
    <w:rsid w:val="00981377"/>
    <w:rsid w:val="00981EE0"/>
    <w:rsid w:val="00983905"/>
    <w:rsid w:val="00985472"/>
    <w:rsid w:val="009A7DD5"/>
    <w:rsid w:val="009C12C3"/>
    <w:rsid w:val="009C3E2B"/>
    <w:rsid w:val="009D0010"/>
    <w:rsid w:val="009D5F04"/>
    <w:rsid w:val="009E1EC5"/>
    <w:rsid w:val="009E2E7A"/>
    <w:rsid w:val="009E35CC"/>
    <w:rsid w:val="009E4348"/>
    <w:rsid w:val="009E7855"/>
    <w:rsid w:val="009F36AE"/>
    <w:rsid w:val="009F6B4A"/>
    <w:rsid w:val="00A034E8"/>
    <w:rsid w:val="00A0355A"/>
    <w:rsid w:val="00A10923"/>
    <w:rsid w:val="00A110DE"/>
    <w:rsid w:val="00A13935"/>
    <w:rsid w:val="00A16DBD"/>
    <w:rsid w:val="00A172FF"/>
    <w:rsid w:val="00A20BE8"/>
    <w:rsid w:val="00A34C3F"/>
    <w:rsid w:val="00A508B3"/>
    <w:rsid w:val="00A51FDB"/>
    <w:rsid w:val="00A53C4E"/>
    <w:rsid w:val="00A61A6B"/>
    <w:rsid w:val="00A65931"/>
    <w:rsid w:val="00A67393"/>
    <w:rsid w:val="00A8244D"/>
    <w:rsid w:val="00A82B74"/>
    <w:rsid w:val="00A82FC9"/>
    <w:rsid w:val="00A8387B"/>
    <w:rsid w:val="00A9040A"/>
    <w:rsid w:val="00A96479"/>
    <w:rsid w:val="00AA4A3F"/>
    <w:rsid w:val="00AB2CF1"/>
    <w:rsid w:val="00AB5B9D"/>
    <w:rsid w:val="00AB738E"/>
    <w:rsid w:val="00AB7F4D"/>
    <w:rsid w:val="00AC40C8"/>
    <w:rsid w:val="00AC6AAA"/>
    <w:rsid w:val="00AD1B72"/>
    <w:rsid w:val="00AD1BAF"/>
    <w:rsid w:val="00AD5F40"/>
    <w:rsid w:val="00AE3E24"/>
    <w:rsid w:val="00AE7BA1"/>
    <w:rsid w:val="00AF16CB"/>
    <w:rsid w:val="00AF2A1E"/>
    <w:rsid w:val="00AF32C9"/>
    <w:rsid w:val="00B10F16"/>
    <w:rsid w:val="00B12A9C"/>
    <w:rsid w:val="00B1676C"/>
    <w:rsid w:val="00B306D5"/>
    <w:rsid w:val="00B3246D"/>
    <w:rsid w:val="00B363B0"/>
    <w:rsid w:val="00B370A7"/>
    <w:rsid w:val="00B3731E"/>
    <w:rsid w:val="00B40F79"/>
    <w:rsid w:val="00B564B7"/>
    <w:rsid w:val="00B5754A"/>
    <w:rsid w:val="00B57B62"/>
    <w:rsid w:val="00B61B17"/>
    <w:rsid w:val="00B75A90"/>
    <w:rsid w:val="00B954BE"/>
    <w:rsid w:val="00B9643A"/>
    <w:rsid w:val="00B97514"/>
    <w:rsid w:val="00B97B60"/>
    <w:rsid w:val="00BA2D70"/>
    <w:rsid w:val="00BA7B49"/>
    <w:rsid w:val="00BB02BC"/>
    <w:rsid w:val="00BB42B0"/>
    <w:rsid w:val="00BB7F6E"/>
    <w:rsid w:val="00BC4AA8"/>
    <w:rsid w:val="00BD0441"/>
    <w:rsid w:val="00BD3BD5"/>
    <w:rsid w:val="00BD6E70"/>
    <w:rsid w:val="00BD7C30"/>
    <w:rsid w:val="00BE2339"/>
    <w:rsid w:val="00BE499A"/>
    <w:rsid w:val="00BE5C38"/>
    <w:rsid w:val="00BE7E62"/>
    <w:rsid w:val="00BF1E70"/>
    <w:rsid w:val="00BF357D"/>
    <w:rsid w:val="00C00315"/>
    <w:rsid w:val="00C01D96"/>
    <w:rsid w:val="00C023C9"/>
    <w:rsid w:val="00C0451E"/>
    <w:rsid w:val="00C04C2D"/>
    <w:rsid w:val="00C05800"/>
    <w:rsid w:val="00C07836"/>
    <w:rsid w:val="00C11741"/>
    <w:rsid w:val="00C11B4F"/>
    <w:rsid w:val="00C14B6E"/>
    <w:rsid w:val="00C27FB4"/>
    <w:rsid w:val="00C329D6"/>
    <w:rsid w:val="00C34349"/>
    <w:rsid w:val="00C35EF1"/>
    <w:rsid w:val="00C410FE"/>
    <w:rsid w:val="00C51ACB"/>
    <w:rsid w:val="00C5353F"/>
    <w:rsid w:val="00C60156"/>
    <w:rsid w:val="00C667E3"/>
    <w:rsid w:val="00C8193A"/>
    <w:rsid w:val="00C82848"/>
    <w:rsid w:val="00C910F9"/>
    <w:rsid w:val="00C93F97"/>
    <w:rsid w:val="00CA0852"/>
    <w:rsid w:val="00CA60BE"/>
    <w:rsid w:val="00CA7F25"/>
    <w:rsid w:val="00CC3B06"/>
    <w:rsid w:val="00CD6C97"/>
    <w:rsid w:val="00CF2A6B"/>
    <w:rsid w:val="00CF6C05"/>
    <w:rsid w:val="00D01E84"/>
    <w:rsid w:val="00D1042F"/>
    <w:rsid w:val="00D11E52"/>
    <w:rsid w:val="00D156AF"/>
    <w:rsid w:val="00D20C1F"/>
    <w:rsid w:val="00D21637"/>
    <w:rsid w:val="00D21FD0"/>
    <w:rsid w:val="00D223C9"/>
    <w:rsid w:val="00D26A01"/>
    <w:rsid w:val="00D32EB1"/>
    <w:rsid w:val="00D34FE6"/>
    <w:rsid w:val="00D41D7F"/>
    <w:rsid w:val="00D524DA"/>
    <w:rsid w:val="00D53CF7"/>
    <w:rsid w:val="00D5619D"/>
    <w:rsid w:val="00D60C4D"/>
    <w:rsid w:val="00D61F9F"/>
    <w:rsid w:val="00D6731D"/>
    <w:rsid w:val="00D83182"/>
    <w:rsid w:val="00D839CF"/>
    <w:rsid w:val="00D850D4"/>
    <w:rsid w:val="00D916C5"/>
    <w:rsid w:val="00DA4F7F"/>
    <w:rsid w:val="00DA5B65"/>
    <w:rsid w:val="00DA7C93"/>
    <w:rsid w:val="00DB0528"/>
    <w:rsid w:val="00DB623A"/>
    <w:rsid w:val="00DC1017"/>
    <w:rsid w:val="00DC7F2D"/>
    <w:rsid w:val="00DD0341"/>
    <w:rsid w:val="00DD35AB"/>
    <w:rsid w:val="00DE520F"/>
    <w:rsid w:val="00DF0470"/>
    <w:rsid w:val="00E025B2"/>
    <w:rsid w:val="00E060FB"/>
    <w:rsid w:val="00E13E61"/>
    <w:rsid w:val="00E15458"/>
    <w:rsid w:val="00E159D7"/>
    <w:rsid w:val="00E174B3"/>
    <w:rsid w:val="00E20E18"/>
    <w:rsid w:val="00E26A30"/>
    <w:rsid w:val="00E35B85"/>
    <w:rsid w:val="00E36544"/>
    <w:rsid w:val="00E40838"/>
    <w:rsid w:val="00E4276E"/>
    <w:rsid w:val="00E441EC"/>
    <w:rsid w:val="00E52E18"/>
    <w:rsid w:val="00E61949"/>
    <w:rsid w:val="00E72D6C"/>
    <w:rsid w:val="00E81ED4"/>
    <w:rsid w:val="00E820AA"/>
    <w:rsid w:val="00E84A2B"/>
    <w:rsid w:val="00E96680"/>
    <w:rsid w:val="00E974C8"/>
    <w:rsid w:val="00E97565"/>
    <w:rsid w:val="00EA2810"/>
    <w:rsid w:val="00EA5B39"/>
    <w:rsid w:val="00EA78E6"/>
    <w:rsid w:val="00EB65DD"/>
    <w:rsid w:val="00EB6F24"/>
    <w:rsid w:val="00EC6E0A"/>
    <w:rsid w:val="00EC7604"/>
    <w:rsid w:val="00ED3ECA"/>
    <w:rsid w:val="00ED7D4C"/>
    <w:rsid w:val="00EE21C9"/>
    <w:rsid w:val="00F00ABF"/>
    <w:rsid w:val="00F00B5D"/>
    <w:rsid w:val="00F033D7"/>
    <w:rsid w:val="00F05642"/>
    <w:rsid w:val="00F06CC6"/>
    <w:rsid w:val="00F110C1"/>
    <w:rsid w:val="00F15A31"/>
    <w:rsid w:val="00F226BB"/>
    <w:rsid w:val="00F27679"/>
    <w:rsid w:val="00F31D88"/>
    <w:rsid w:val="00F4423F"/>
    <w:rsid w:val="00F46269"/>
    <w:rsid w:val="00F5148F"/>
    <w:rsid w:val="00F55B91"/>
    <w:rsid w:val="00F57A5D"/>
    <w:rsid w:val="00F649E4"/>
    <w:rsid w:val="00F73E88"/>
    <w:rsid w:val="00F80429"/>
    <w:rsid w:val="00F818C3"/>
    <w:rsid w:val="00F90DC1"/>
    <w:rsid w:val="00F91611"/>
    <w:rsid w:val="00F9249F"/>
    <w:rsid w:val="00F92566"/>
    <w:rsid w:val="00FA29A2"/>
    <w:rsid w:val="00FA40BB"/>
    <w:rsid w:val="00FA52A4"/>
    <w:rsid w:val="00FA52CF"/>
    <w:rsid w:val="00FA58EC"/>
    <w:rsid w:val="00FC0654"/>
    <w:rsid w:val="00FC2172"/>
    <w:rsid w:val="00FC4B69"/>
    <w:rsid w:val="00FD5DBB"/>
    <w:rsid w:val="00FE195B"/>
    <w:rsid w:val="00FE7593"/>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942DF"/>
  <w15:chartTrackingRefBased/>
  <w15:docId w15:val="{BE306B82-4DD1-4A0D-B76E-18DA28CB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sid w:val="009248F5"/>
    <w:rPr>
      <w:sz w:val="20"/>
    </w:rPr>
  </w:style>
  <w:style w:type="character" w:styleId="FootnoteReference">
    <w:name w:val="footnote reference"/>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styleId="CommentReference">
    <w:name w:val="annotation reference"/>
    <w:rsid w:val="00C00315"/>
    <w:rPr>
      <w:sz w:val="16"/>
      <w:szCs w:val="16"/>
    </w:rPr>
  </w:style>
  <w:style w:type="paragraph" w:styleId="CommentText">
    <w:name w:val="annotation text"/>
    <w:basedOn w:val="Normal"/>
    <w:link w:val="CommentTextChar"/>
    <w:rsid w:val="00C00315"/>
    <w:rPr>
      <w:sz w:val="20"/>
    </w:rPr>
  </w:style>
  <w:style w:type="character" w:customStyle="1" w:styleId="CommentTextChar">
    <w:name w:val="Comment Text Char"/>
    <w:basedOn w:val="DefaultParagraphFont"/>
    <w:link w:val="CommentText"/>
    <w:rsid w:val="00C00315"/>
  </w:style>
  <w:style w:type="paragraph" w:styleId="CommentSubject">
    <w:name w:val="annotation subject"/>
    <w:basedOn w:val="CommentText"/>
    <w:next w:val="CommentText"/>
    <w:link w:val="CommentSubjectChar"/>
    <w:rsid w:val="00C00315"/>
    <w:rPr>
      <w:b/>
      <w:bCs/>
    </w:rPr>
  </w:style>
  <w:style w:type="character" w:customStyle="1" w:styleId="CommentSubjectChar">
    <w:name w:val="Comment Subject Char"/>
    <w:link w:val="CommentSubject"/>
    <w:rsid w:val="00C00315"/>
    <w:rPr>
      <w:b/>
      <w:bCs/>
    </w:rPr>
  </w:style>
  <w:style w:type="character" w:styleId="Hyperlink">
    <w:name w:val="Hyperlink"/>
    <w:rsid w:val="00C00315"/>
    <w:rPr>
      <w:color w:val="0563C1"/>
      <w:u w:val="single"/>
    </w:rPr>
  </w:style>
  <w:style w:type="character" w:styleId="UnresolvedMention">
    <w:name w:val="Unresolved Mention"/>
    <w:uiPriority w:val="99"/>
    <w:semiHidden/>
    <w:unhideWhenUsed/>
    <w:rsid w:val="00C00315"/>
    <w:rPr>
      <w:color w:val="605E5C"/>
      <w:shd w:val="clear" w:color="auto" w:fill="E1DFDD"/>
    </w:rPr>
  </w:style>
  <w:style w:type="paragraph" w:styleId="Revision">
    <w:name w:val="Revision"/>
    <w:hidden/>
    <w:uiPriority w:val="99"/>
    <w:semiHidden/>
    <w:rsid w:val="00ED3ECA"/>
    <w:rPr>
      <w:sz w:val="24"/>
    </w:rPr>
  </w:style>
  <w:style w:type="paragraph" w:styleId="ListParagraph">
    <w:name w:val="List Paragraph"/>
    <w:basedOn w:val="Normal"/>
    <w:uiPriority w:val="34"/>
    <w:qFormat/>
    <w:rsid w:val="00604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7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54A33-2CE5-4911-9604-6FAE78C0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2698</Words>
  <Characters>15383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Moore, Vikki</dc:creator>
  <cp:keywords/>
  <cp:lastModifiedBy>Sheffer, Ryan</cp:lastModifiedBy>
  <cp:revision>6</cp:revision>
  <cp:lastPrinted>2004-05-11T12:38:00Z</cp:lastPrinted>
  <dcterms:created xsi:type="dcterms:W3CDTF">2021-11-29T19:12:00Z</dcterms:created>
  <dcterms:modified xsi:type="dcterms:W3CDTF">2021-12-02T12:01:00Z</dcterms:modified>
</cp:coreProperties>
</file>