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7354DA" w:rsidRPr="00943090" w14:paraId="55562160" w14:textId="77777777" w:rsidTr="00742FD1">
        <w:tc>
          <w:tcPr>
            <w:tcW w:w="2448" w:type="dxa"/>
          </w:tcPr>
          <w:p w14:paraId="3F84215D" w14:textId="77777777" w:rsidR="007354DA" w:rsidRPr="00943090" w:rsidRDefault="007354DA" w:rsidP="00742FD1">
            <w:pPr>
              <w:pStyle w:val="Heading3"/>
              <w:rPr>
                <w:rFonts w:ascii="Times New Roman" w:hAnsi="Times New Roman" w:cs="Times New Roman"/>
              </w:rPr>
            </w:pPr>
          </w:p>
        </w:tc>
        <w:tc>
          <w:tcPr>
            <w:tcW w:w="5130" w:type="dxa"/>
          </w:tcPr>
          <w:p w14:paraId="4B00D0D0" w14:textId="77777777" w:rsidR="007354DA" w:rsidRPr="00943090" w:rsidRDefault="007354DA" w:rsidP="00742FD1">
            <w:pPr>
              <w:jc w:val="center"/>
              <w:rPr>
                <w:b/>
                <w:sz w:val="26"/>
                <w:szCs w:val="26"/>
              </w:rPr>
            </w:pPr>
            <w:r w:rsidRPr="00943090">
              <w:rPr>
                <w:b/>
                <w:sz w:val="26"/>
                <w:szCs w:val="26"/>
              </w:rPr>
              <w:t>PENNSYLVANIA</w:t>
            </w:r>
          </w:p>
          <w:p w14:paraId="7957A835" w14:textId="77777777" w:rsidR="007354DA" w:rsidRPr="00943090" w:rsidRDefault="007354DA" w:rsidP="00742FD1">
            <w:pPr>
              <w:jc w:val="center"/>
              <w:rPr>
                <w:b/>
                <w:sz w:val="26"/>
                <w:szCs w:val="26"/>
              </w:rPr>
            </w:pPr>
            <w:r w:rsidRPr="00943090">
              <w:rPr>
                <w:b/>
                <w:sz w:val="26"/>
                <w:szCs w:val="26"/>
              </w:rPr>
              <w:t>PUBLIC UTILITY COMMISSION</w:t>
            </w:r>
          </w:p>
          <w:p w14:paraId="32DCE1A1" w14:textId="77777777" w:rsidR="007354DA" w:rsidRPr="00943090" w:rsidRDefault="007354DA" w:rsidP="00742FD1">
            <w:pPr>
              <w:pStyle w:val="StyleCentered"/>
              <w:rPr>
                <w:b/>
                <w:sz w:val="26"/>
                <w:szCs w:val="26"/>
              </w:rPr>
            </w:pPr>
            <w:r w:rsidRPr="00943090">
              <w:rPr>
                <w:b/>
                <w:sz w:val="26"/>
                <w:szCs w:val="26"/>
              </w:rPr>
              <w:t>Harrisburg, PA  17105-3265</w:t>
            </w:r>
          </w:p>
        </w:tc>
        <w:tc>
          <w:tcPr>
            <w:tcW w:w="2700" w:type="dxa"/>
          </w:tcPr>
          <w:p w14:paraId="5EC8B860" w14:textId="77777777" w:rsidR="007354DA" w:rsidRPr="00943090" w:rsidRDefault="007354DA" w:rsidP="00742FD1">
            <w:pPr>
              <w:rPr>
                <w:sz w:val="26"/>
                <w:szCs w:val="26"/>
              </w:rPr>
            </w:pPr>
          </w:p>
        </w:tc>
      </w:tr>
    </w:tbl>
    <w:p w14:paraId="644B4C4B" w14:textId="77777777" w:rsidR="007354DA" w:rsidRPr="00943090" w:rsidRDefault="007354DA" w:rsidP="007354DA">
      <w:pPr>
        <w:rPr>
          <w:sz w:val="26"/>
          <w:szCs w:val="26"/>
        </w:rPr>
      </w:pPr>
    </w:p>
    <w:tbl>
      <w:tblPr>
        <w:tblW w:w="0" w:type="auto"/>
        <w:tblLayout w:type="fixed"/>
        <w:tblLook w:val="0000" w:firstRow="0" w:lastRow="0" w:firstColumn="0" w:lastColumn="0" w:noHBand="0" w:noVBand="0"/>
      </w:tblPr>
      <w:tblGrid>
        <w:gridCol w:w="5148"/>
        <w:gridCol w:w="5148"/>
      </w:tblGrid>
      <w:tr w:rsidR="007354DA" w:rsidRPr="00943090" w14:paraId="687F0675" w14:textId="77777777" w:rsidTr="00742FD1">
        <w:tc>
          <w:tcPr>
            <w:tcW w:w="5148" w:type="dxa"/>
          </w:tcPr>
          <w:p w14:paraId="37BAD315" w14:textId="77777777" w:rsidR="007354DA" w:rsidRPr="00943090" w:rsidRDefault="007354DA" w:rsidP="00742FD1">
            <w:pPr>
              <w:rPr>
                <w:sz w:val="26"/>
                <w:szCs w:val="26"/>
              </w:rPr>
            </w:pPr>
          </w:p>
        </w:tc>
        <w:tc>
          <w:tcPr>
            <w:tcW w:w="5148" w:type="dxa"/>
          </w:tcPr>
          <w:p w14:paraId="15408D72" w14:textId="010E4839" w:rsidR="007354DA" w:rsidRPr="00943090" w:rsidRDefault="007354DA" w:rsidP="00A74F68">
            <w:pPr>
              <w:ind w:firstLine="612"/>
              <w:rPr>
                <w:sz w:val="26"/>
                <w:szCs w:val="26"/>
              </w:rPr>
            </w:pPr>
            <w:r w:rsidRPr="00943090">
              <w:rPr>
                <w:sz w:val="26"/>
                <w:szCs w:val="26"/>
              </w:rPr>
              <w:t xml:space="preserve">Public Meeting held </w:t>
            </w:r>
            <w:r w:rsidR="008E488E">
              <w:rPr>
                <w:sz w:val="26"/>
                <w:szCs w:val="26"/>
              </w:rPr>
              <w:t xml:space="preserve">February </w:t>
            </w:r>
            <w:r w:rsidR="00040E98">
              <w:rPr>
                <w:sz w:val="26"/>
                <w:szCs w:val="26"/>
              </w:rPr>
              <w:t>24, 2022</w:t>
            </w:r>
          </w:p>
        </w:tc>
      </w:tr>
      <w:tr w:rsidR="007354DA" w:rsidRPr="00943090" w14:paraId="223D8193" w14:textId="77777777" w:rsidTr="00742FD1">
        <w:tc>
          <w:tcPr>
            <w:tcW w:w="5148" w:type="dxa"/>
          </w:tcPr>
          <w:p w14:paraId="6C27B19C" w14:textId="77777777" w:rsidR="007354DA" w:rsidRPr="00943090" w:rsidRDefault="007354DA" w:rsidP="00742FD1">
            <w:pPr>
              <w:rPr>
                <w:sz w:val="26"/>
                <w:szCs w:val="26"/>
              </w:rPr>
            </w:pPr>
            <w:r w:rsidRPr="00943090">
              <w:rPr>
                <w:sz w:val="26"/>
                <w:szCs w:val="26"/>
              </w:rPr>
              <w:t>Commissioners Present:</w:t>
            </w:r>
          </w:p>
        </w:tc>
        <w:tc>
          <w:tcPr>
            <w:tcW w:w="5148" w:type="dxa"/>
          </w:tcPr>
          <w:p w14:paraId="49D59838" w14:textId="77777777" w:rsidR="007354DA" w:rsidRPr="00943090" w:rsidRDefault="007354DA" w:rsidP="00742FD1">
            <w:pPr>
              <w:rPr>
                <w:sz w:val="26"/>
                <w:szCs w:val="26"/>
              </w:rPr>
            </w:pPr>
          </w:p>
        </w:tc>
      </w:tr>
    </w:tbl>
    <w:p w14:paraId="2CA0A717" w14:textId="77777777" w:rsidR="007354DA" w:rsidRPr="00943090" w:rsidRDefault="007354DA" w:rsidP="007354DA">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7354DA" w:rsidRPr="00943090" w14:paraId="72B69C4B" w14:textId="77777777" w:rsidTr="00742FD1">
        <w:tc>
          <w:tcPr>
            <w:tcW w:w="9378" w:type="dxa"/>
            <w:gridSpan w:val="2"/>
          </w:tcPr>
          <w:p w14:paraId="2A36EA29" w14:textId="0B057A83" w:rsidR="007354DA" w:rsidRPr="00943090" w:rsidRDefault="00BF0BE6" w:rsidP="00742FD1">
            <w:pPr>
              <w:overflowPunct/>
              <w:ind w:left="720"/>
              <w:textAlignment w:val="auto"/>
              <w:rPr>
                <w:sz w:val="26"/>
                <w:szCs w:val="26"/>
              </w:rPr>
            </w:pPr>
            <w:r w:rsidRPr="00943090">
              <w:rPr>
                <w:sz w:val="26"/>
                <w:szCs w:val="26"/>
              </w:rPr>
              <w:t xml:space="preserve">Gladys </w:t>
            </w:r>
            <w:r w:rsidR="00C4438F">
              <w:rPr>
                <w:sz w:val="26"/>
                <w:szCs w:val="26"/>
              </w:rPr>
              <w:t>Brown Dutrieu</w:t>
            </w:r>
            <w:r w:rsidR="005F6AEA">
              <w:rPr>
                <w:sz w:val="26"/>
                <w:szCs w:val="26"/>
              </w:rPr>
              <w:t>i</w:t>
            </w:r>
            <w:r w:rsidR="00C4438F">
              <w:rPr>
                <w:sz w:val="26"/>
                <w:szCs w:val="26"/>
              </w:rPr>
              <w:t>lle</w:t>
            </w:r>
            <w:r w:rsidR="007354DA" w:rsidRPr="00943090">
              <w:rPr>
                <w:sz w:val="26"/>
                <w:szCs w:val="26"/>
              </w:rPr>
              <w:t>, Chairman</w:t>
            </w:r>
          </w:p>
          <w:p w14:paraId="17C1E157" w14:textId="13ABAE6A" w:rsidR="00E50BF0" w:rsidRPr="00943090" w:rsidRDefault="003A2735" w:rsidP="006114A4">
            <w:pPr>
              <w:overflowPunct/>
              <w:ind w:left="720"/>
              <w:textAlignment w:val="auto"/>
              <w:rPr>
                <w:sz w:val="26"/>
                <w:szCs w:val="26"/>
              </w:rPr>
            </w:pPr>
            <w:r w:rsidRPr="00943090">
              <w:rPr>
                <w:sz w:val="26"/>
                <w:szCs w:val="26"/>
              </w:rPr>
              <w:t>John F. Coleman, Jr.</w:t>
            </w:r>
            <w:r w:rsidR="00D35BC8">
              <w:rPr>
                <w:sz w:val="26"/>
                <w:szCs w:val="26"/>
              </w:rPr>
              <w:t>, Vice Chairman</w:t>
            </w:r>
          </w:p>
        </w:tc>
        <w:tc>
          <w:tcPr>
            <w:tcW w:w="918" w:type="dxa"/>
            <w:gridSpan w:val="2"/>
          </w:tcPr>
          <w:p w14:paraId="03EE9429" w14:textId="77777777" w:rsidR="007354DA" w:rsidRPr="00943090" w:rsidRDefault="007354DA" w:rsidP="00742FD1">
            <w:pPr>
              <w:rPr>
                <w:sz w:val="26"/>
                <w:szCs w:val="26"/>
              </w:rPr>
            </w:pPr>
          </w:p>
        </w:tc>
      </w:tr>
      <w:tr w:rsidR="00E50BF0" w:rsidRPr="00943090" w14:paraId="10EC1120" w14:textId="77777777" w:rsidTr="00742FD1">
        <w:tc>
          <w:tcPr>
            <w:tcW w:w="9378" w:type="dxa"/>
            <w:gridSpan w:val="2"/>
          </w:tcPr>
          <w:p w14:paraId="6296DA50" w14:textId="7245AD8D" w:rsidR="00E50BF0" w:rsidRPr="00943090" w:rsidRDefault="003A2735" w:rsidP="00742FD1">
            <w:pPr>
              <w:overflowPunct/>
              <w:ind w:left="720"/>
              <w:textAlignment w:val="auto"/>
              <w:rPr>
                <w:sz w:val="26"/>
                <w:szCs w:val="26"/>
              </w:rPr>
            </w:pPr>
            <w:r>
              <w:rPr>
                <w:sz w:val="26"/>
                <w:szCs w:val="26"/>
              </w:rPr>
              <w:t>Ralph V. Yanora</w:t>
            </w:r>
          </w:p>
        </w:tc>
        <w:tc>
          <w:tcPr>
            <w:tcW w:w="918" w:type="dxa"/>
            <w:gridSpan w:val="2"/>
          </w:tcPr>
          <w:p w14:paraId="50420CA6" w14:textId="77777777" w:rsidR="00E50BF0" w:rsidRPr="00943090" w:rsidRDefault="00E50BF0" w:rsidP="00742FD1">
            <w:pPr>
              <w:rPr>
                <w:sz w:val="26"/>
                <w:szCs w:val="26"/>
              </w:rPr>
            </w:pPr>
          </w:p>
        </w:tc>
      </w:tr>
      <w:tr w:rsidR="00E50BF0" w:rsidRPr="00943090" w14:paraId="3B9C94BD" w14:textId="77777777" w:rsidTr="00742FD1">
        <w:tc>
          <w:tcPr>
            <w:tcW w:w="9378" w:type="dxa"/>
            <w:gridSpan w:val="2"/>
          </w:tcPr>
          <w:p w14:paraId="4B59C3C7" w14:textId="3C2BA37D" w:rsidR="00E50BF0" w:rsidRPr="00943090" w:rsidRDefault="00E50BF0" w:rsidP="00E50BF0">
            <w:pPr>
              <w:overflowPunct/>
              <w:ind w:left="720"/>
              <w:textAlignment w:val="auto"/>
              <w:rPr>
                <w:sz w:val="26"/>
                <w:szCs w:val="26"/>
              </w:rPr>
            </w:pPr>
          </w:p>
        </w:tc>
        <w:tc>
          <w:tcPr>
            <w:tcW w:w="918" w:type="dxa"/>
            <w:gridSpan w:val="2"/>
          </w:tcPr>
          <w:p w14:paraId="4DB88A40" w14:textId="77777777" w:rsidR="00E50BF0" w:rsidRPr="00943090" w:rsidRDefault="00E50BF0" w:rsidP="00742FD1">
            <w:pPr>
              <w:rPr>
                <w:sz w:val="26"/>
                <w:szCs w:val="26"/>
              </w:rPr>
            </w:pPr>
          </w:p>
        </w:tc>
      </w:tr>
      <w:tr w:rsidR="00E50BF0" w:rsidRPr="00943090" w14:paraId="6BA9F782" w14:textId="77777777" w:rsidTr="009807CA">
        <w:trPr>
          <w:gridAfter w:val="1"/>
          <w:wAfter w:w="18" w:type="dxa"/>
        </w:trPr>
        <w:tc>
          <w:tcPr>
            <w:tcW w:w="5958" w:type="dxa"/>
          </w:tcPr>
          <w:p w14:paraId="0102E830" w14:textId="32FB6B07" w:rsidR="00E50BF0" w:rsidRPr="00943090" w:rsidRDefault="00E50BF0" w:rsidP="005C5125">
            <w:pPr>
              <w:overflowPunct/>
              <w:ind w:left="720"/>
              <w:textAlignment w:val="auto"/>
              <w:rPr>
                <w:sz w:val="26"/>
                <w:szCs w:val="26"/>
              </w:rPr>
            </w:pPr>
          </w:p>
        </w:tc>
        <w:tc>
          <w:tcPr>
            <w:tcW w:w="4320" w:type="dxa"/>
            <w:gridSpan w:val="2"/>
          </w:tcPr>
          <w:p w14:paraId="67921E86" w14:textId="77777777" w:rsidR="00E50BF0" w:rsidRPr="00943090" w:rsidRDefault="00E50BF0" w:rsidP="00742FD1">
            <w:pPr>
              <w:rPr>
                <w:sz w:val="26"/>
                <w:szCs w:val="26"/>
              </w:rPr>
            </w:pPr>
          </w:p>
        </w:tc>
      </w:tr>
      <w:tr w:rsidR="00E50BF0" w:rsidRPr="00943090" w14:paraId="7076A1FA" w14:textId="77777777" w:rsidTr="009807CA">
        <w:trPr>
          <w:gridAfter w:val="1"/>
          <w:wAfter w:w="18" w:type="dxa"/>
        </w:trPr>
        <w:tc>
          <w:tcPr>
            <w:tcW w:w="5958" w:type="dxa"/>
          </w:tcPr>
          <w:p w14:paraId="7289330E" w14:textId="4A2ADBA8" w:rsidR="00E50BF0" w:rsidRPr="00943090" w:rsidRDefault="006660D5" w:rsidP="00742FD1">
            <w:pPr>
              <w:rPr>
                <w:sz w:val="26"/>
                <w:szCs w:val="26"/>
              </w:rPr>
            </w:pPr>
            <w:r>
              <w:rPr>
                <w:sz w:val="26"/>
                <w:szCs w:val="26"/>
              </w:rPr>
              <w:t xml:space="preserve">Net Metering – Use of </w:t>
            </w:r>
            <w:r w:rsidR="00ED6B73">
              <w:rPr>
                <w:sz w:val="26"/>
                <w:szCs w:val="26"/>
              </w:rPr>
              <w:t>Third-Party</w:t>
            </w:r>
            <w:r>
              <w:rPr>
                <w:sz w:val="26"/>
                <w:szCs w:val="26"/>
              </w:rPr>
              <w:t xml:space="preserve"> Operators</w:t>
            </w:r>
          </w:p>
        </w:tc>
        <w:tc>
          <w:tcPr>
            <w:tcW w:w="4320" w:type="dxa"/>
            <w:gridSpan w:val="2"/>
          </w:tcPr>
          <w:p w14:paraId="1478919B" w14:textId="2898F062" w:rsidR="00E50BF0" w:rsidRPr="00943090" w:rsidRDefault="00195681" w:rsidP="00195681">
            <w:pPr>
              <w:rPr>
                <w:sz w:val="26"/>
                <w:szCs w:val="26"/>
              </w:rPr>
            </w:pPr>
            <w:r w:rsidRPr="008E6A6D">
              <w:rPr>
                <w:sz w:val="26"/>
                <w:szCs w:val="26"/>
              </w:rPr>
              <w:t>Docket No.  M</w:t>
            </w:r>
            <w:r w:rsidRPr="008E6A6D">
              <w:rPr>
                <w:sz w:val="26"/>
                <w:szCs w:val="26"/>
              </w:rPr>
              <w:noBreakHyphen/>
              <w:t>20</w:t>
            </w:r>
            <w:r>
              <w:rPr>
                <w:sz w:val="26"/>
                <w:szCs w:val="26"/>
              </w:rPr>
              <w:t>11</w:t>
            </w:r>
            <w:r w:rsidRPr="008E6A6D">
              <w:rPr>
                <w:sz w:val="26"/>
                <w:szCs w:val="26"/>
              </w:rPr>
              <w:noBreakHyphen/>
              <w:t>2</w:t>
            </w:r>
            <w:r>
              <w:rPr>
                <w:sz w:val="26"/>
                <w:szCs w:val="26"/>
              </w:rPr>
              <w:t>249441</w:t>
            </w:r>
          </w:p>
        </w:tc>
      </w:tr>
      <w:tr w:rsidR="00E50BF0" w:rsidRPr="00943090" w14:paraId="2D31E718" w14:textId="77777777" w:rsidTr="009807CA">
        <w:trPr>
          <w:gridAfter w:val="1"/>
          <w:wAfter w:w="18" w:type="dxa"/>
        </w:trPr>
        <w:tc>
          <w:tcPr>
            <w:tcW w:w="5958" w:type="dxa"/>
          </w:tcPr>
          <w:p w14:paraId="1230D647" w14:textId="2B3F2FD1" w:rsidR="00E50BF0" w:rsidRPr="00943090" w:rsidRDefault="00E50BF0" w:rsidP="009807CA">
            <w:pPr>
              <w:rPr>
                <w:sz w:val="26"/>
                <w:szCs w:val="26"/>
              </w:rPr>
            </w:pPr>
          </w:p>
        </w:tc>
        <w:tc>
          <w:tcPr>
            <w:tcW w:w="4320" w:type="dxa"/>
            <w:gridSpan w:val="2"/>
          </w:tcPr>
          <w:p w14:paraId="76992F57" w14:textId="3E3E8223" w:rsidR="00E50BF0" w:rsidRPr="00943090" w:rsidRDefault="00E50BF0" w:rsidP="00B43A27">
            <w:pPr>
              <w:jc w:val="center"/>
              <w:rPr>
                <w:sz w:val="26"/>
                <w:szCs w:val="26"/>
              </w:rPr>
            </w:pPr>
          </w:p>
          <w:p w14:paraId="7F6A5453" w14:textId="77777777" w:rsidR="00E50BF0" w:rsidRPr="00943090" w:rsidRDefault="00E50BF0" w:rsidP="00742FD1">
            <w:pPr>
              <w:rPr>
                <w:sz w:val="26"/>
                <w:szCs w:val="26"/>
              </w:rPr>
            </w:pPr>
          </w:p>
        </w:tc>
      </w:tr>
    </w:tbl>
    <w:p w14:paraId="6E7B4FC5" w14:textId="1BF57180" w:rsidR="007354DA" w:rsidRPr="00A65A1D" w:rsidRDefault="007354DA" w:rsidP="007354DA">
      <w:pPr>
        <w:jc w:val="center"/>
        <w:rPr>
          <w:b/>
          <w:sz w:val="26"/>
          <w:szCs w:val="26"/>
        </w:rPr>
      </w:pPr>
      <w:r w:rsidRPr="00A65A1D">
        <w:rPr>
          <w:b/>
          <w:sz w:val="26"/>
          <w:szCs w:val="26"/>
        </w:rPr>
        <w:t>ORDER</w:t>
      </w:r>
    </w:p>
    <w:p w14:paraId="0BB0206C" w14:textId="77777777" w:rsidR="009154AD" w:rsidRPr="00A65A1D" w:rsidRDefault="009154AD" w:rsidP="008E0D4C">
      <w:pPr>
        <w:jc w:val="center"/>
        <w:rPr>
          <w:b/>
          <w:sz w:val="26"/>
          <w:szCs w:val="26"/>
        </w:rPr>
      </w:pPr>
    </w:p>
    <w:p w14:paraId="7ED8796A" w14:textId="56B2DF14" w:rsidR="007354DA" w:rsidRDefault="007354DA" w:rsidP="008E0D4C">
      <w:pPr>
        <w:pStyle w:val="p3"/>
        <w:spacing w:line="360" w:lineRule="auto"/>
        <w:rPr>
          <w:b/>
          <w:sz w:val="26"/>
          <w:szCs w:val="26"/>
        </w:rPr>
      </w:pPr>
      <w:r w:rsidRPr="00A65A1D">
        <w:rPr>
          <w:b/>
          <w:sz w:val="26"/>
          <w:szCs w:val="26"/>
        </w:rPr>
        <w:t>BY THE COMMISSION:</w:t>
      </w:r>
    </w:p>
    <w:p w14:paraId="69C0D39E" w14:textId="1AE901A3" w:rsidR="006A5AF4" w:rsidRPr="00A65A1D" w:rsidRDefault="008E0D4C" w:rsidP="008E0D4C">
      <w:pPr>
        <w:pStyle w:val="OrderBodyText"/>
        <w:ind w:firstLine="0"/>
      </w:pPr>
      <w:r>
        <w:tab/>
      </w:r>
      <w:r w:rsidR="00E93395" w:rsidRPr="00A65A1D">
        <w:t>With the passage of the Alternative Energy Portfolio Standards Act of 2004</w:t>
      </w:r>
      <w:r w:rsidR="00E93395" w:rsidRPr="00A65A1D">
        <w:rPr>
          <w:rStyle w:val="FootnoteReference"/>
        </w:rPr>
        <w:footnoteReference w:id="1"/>
      </w:r>
      <w:r w:rsidR="00E93395" w:rsidRPr="00A65A1D">
        <w:t xml:space="preserve"> (AEPS Act), this Commonwealth embarked on a policy of promoting alternative generation sources.  The Commission has been steadfastly committed to making sure the AEPS Act successfully meets the legislative policy goal of promoting reasonable alternative energy.  To further this commitment, the Commission, in a </w:t>
      </w:r>
      <w:r w:rsidR="002B4CDD" w:rsidRPr="00A65A1D">
        <w:t>Final</w:t>
      </w:r>
      <w:r w:rsidR="00E93395" w:rsidRPr="00A65A1D">
        <w:t xml:space="preserve"> Order,</w:t>
      </w:r>
      <w:r w:rsidR="00E93395" w:rsidRPr="00A65A1D">
        <w:rPr>
          <w:rStyle w:val="FootnoteReference"/>
        </w:rPr>
        <w:footnoteReference w:id="2"/>
      </w:r>
      <w:r w:rsidR="00E93395" w:rsidRPr="00A65A1D">
        <w:t xml:space="preserve"> </w:t>
      </w:r>
      <w:r w:rsidR="009030B2" w:rsidRPr="00A65A1D">
        <w:t>adopted as</w:t>
      </w:r>
      <w:r w:rsidR="00E93395" w:rsidRPr="00A65A1D">
        <w:t xml:space="preserve"> the policy of the Commission to interpret the term “operator” in the definition of “customer-generator” as including customer-generators with distributed alternative energy systems that contract with a third party to perform the operational functions of the system</w:t>
      </w:r>
      <w:r w:rsidR="009030B2" w:rsidRPr="00A65A1D">
        <w:t xml:space="preserve"> provided the size of the system</w:t>
      </w:r>
      <w:r w:rsidR="00FE5419" w:rsidRPr="00A65A1D">
        <w:t xml:space="preserve"> was designed to produce no more than</w:t>
      </w:r>
      <w:r w:rsidR="007E5429" w:rsidRPr="00A65A1D">
        <w:t xml:space="preserve"> 110%</w:t>
      </w:r>
      <w:r w:rsidR="009F1CB7" w:rsidRPr="00A65A1D">
        <w:t xml:space="preserve"> of the customer’s annual </w:t>
      </w:r>
      <w:r w:rsidR="003C2BEB" w:rsidRPr="00A65A1D">
        <w:t>electric consumption</w:t>
      </w:r>
      <w:r w:rsidR="00E93395" w:rsidRPr="00A65A1D">
        <w:t>.</w:t>
      </w:r>
      <w:r w:rsidR="009030B2" w:rsidRPr="00A65A1D">
        <w:t xml:space="preserve">  </w:t>
      </w:r>
      <w:r w:rsidR="00AC15C2" w:rsidRPr="00A65A1D">
        <w:t xml:space="preserve">For the reasons </w:t>
      </w:r>
      <w:r w:rsidR="00441327" w:rsidRPr="00A65A1D">
        <w:t>expressed in this Order</w:t>
      </w:r>
      <w:r w:rsidR="00FB5665" w:rsidRPr="00A65A1D">
        <w:t xml:space="preserve"> </w:t>
      </w:r>
      <w:bookmarkStart w:id="0" w:name="_Hlk95483035"/>
      <w:r w:rsidR="00FB5665" w:rsidRPr="00A65A1D">
        <w:t>the Commission withdraws this policy</w:t>
      </w:r>
      <w:r w:rsidR="00C04FAF" w:rsidRPr="00A65A1D">
        <w:t xml:space="preserve"> and it will no longer be the policy of the Commission to</w:t>
      </w:r>
      <w:r w:rsidR="002F643B" w:rsidRPr="00A65A1D">
        <w:t xml:space="preserve"> limit third-party owned and operated systems to 110% of the </w:t>
      </w:r>
      <w:r w:rsidR="001F47A0" w:rsidRPr="00A65A1D">
        <w:t>customer-generator’s annual electric consumption.</w:t>
      </w:r>
      <w:bookmarkEnd w:id="0"/>
    </w:p>
    <w:p w14:paraId="3F5BCE9F" w14:textId="372C77A3" w:rsidR="003A6835" w:rsidRPr="00A65A1D" w:rsidRDefault="006C57AB" w:rsidP="008E0D4C">
      <w:pPr>
        <w:pStyle w:val="OrderHeadingText"/>
        <w:keepNext/>
        <w:jc w:val="center"/>
        <w:outlineLvl w:val="0"/>
        <w:rPr>
          <w:u w:val="none"/>
        </w:rPr>
      </w:pPr>
      <w:r w:rsidRPr="00A65A1D">
        <w:rPr>
          <w:u w:val="none"/>
        </w:rPr>
        <w:lastRenderedPageBreak/>
        <w:t>DISCUSSION</w:t>
      </w:r>
    </w:p>
    <w:p w14:paraId="40971882" w14:textId="65338171" w:rsidR="00D01B71" w:rsidRPr="00A65A1D" w:rsidRDefault="00D01B71" w:rsidP="008E0D4C">
      <w:pPr>
        <w:pStyle w:val="SubHeadingOrder"/>
        <w:keepNext/>
        <w:numPr>
          <w:ilvl w:val="0"/>
          <w:numId w:val="5"/>
        </w:numPr>
        <w:ind w:left="720" w:hanging="720"/>
        <w:outlineLvl w:val="1"/>
        <w:rPr>
          <w:b/>
          <w:bCs/>
          <w:u w:val="none"/>
        </w:rPr>
      </w:pPr>
      <w:r w:rsidRPr="00A65A1D">
        <w:rPr>
          <w:b/>
          <w:bCs/>
          <w:u w:val="none"/>
        </w:rPr>
        <w:t>Backgrou</w:t>
      </w:r>
      <w:r w:rsidR="009F271F" w:rsidRPr="00A65A1D">
        <w:rPr>
          <w:b/>
          <w:bCs/>
          <w:u w:val="none"/>
        </w:rPr>
        <w:t>nd</w:t>
      </w:r>
    </w:p>
    <w:p w14:paraId="2183ACB0" w14:textId="28DA4ACF" w:rsidR="00163E35" w:rsidRPr="00A65A1D" w:rsidRDefault="00163E35" w:rsidP="008E0D4C">
      <w:pPr>
        <w:pStyle w:val="OrderBodyText"/>
        <w:keepNext/>
        <w:widowControl/>
      </w:pPr>
      <w:r w:rsidRPr="00A65A1D">
        <w:t xml:space="preserve">On March 29, 2012, the Commission entered a Final Order that interpreted the term “operator” in the definition of “customer-generator” in the </w:t>
      </w:r>
      <w:r w:rsidR="00482DF9" w:rsidRPr="00A65A1D">
        <w:t xml:space="preserve">Alternative Energy Portfolio Standards </w:t>
      </w:r>
      <w:r w:rsidR="00190A81" w:rsidRPr="00A65A1D">
        <w:t>(</w:t>
      </w:r>
      <w:r w:rsidRPr="00A65A1D">
        <w:t>AEPS</w:t>
      </w:r>
      <w:r w:rsidR="00190A81" w:rsidRPr="00A65A1D">
        <w:t>)</w:t>
      </w:r>
      <w:r w:rsidRPr="00A65A1D">
        <w:t xml:space="preserve"> Act</w:t>
      </w:r>
      <w:r w:rsidR="00190A81" w:rsidRPr="00A65A1D">
        <w:t xml:space="preserve">, </w:t>
      </w:r>
      <w:r w:rsidR="0003562F" w:rsidRPr="00A65A1D">
        <w:t>73 P.S. §§ 1648.1-1648.9,</w:t>
      </w:r>
      <w:r w:rsidRPr="00A65A1D">
        <w:t xml:space="preserve"> to include customer</w:t>
      </w:r>
      <w:r w:rsidR="00DB7412" w:rsidRPr="00A65A1D">
        <w:noBreakHyphen/>
      </w:r>
      <w:r w:rsidRPr="00A65A1D">
        <w:t xml:space="preserve">generators with distributed </w:t>
      </w:r>
      <w:r w:rsidR="0051720B" w:rsidRPr="00A65A1D">
        <w:t xml:space="preserve">Alternative Energy Systems </w:t>
      </w:r>
      <w:r w:rsidR="00482DF9" w:rsidRPr="00A65A1D">
        <w:t>(</w:t>
      </w:r>
      <w:r w:rsidRPr="00A65A1D">
        <w:t>AES</w:t>
      </w:r>
      <w:r w:rsidR="00482DF9" w:rsidRPr="00A65A1D">
        <w:t>)</w:t>
      </w:r>
      <w:r w:rsidRPr="00A65A1D">
        <w:t xml:space="preserve"> that contract with a third party to perform the operation functions of the system.  </w:t>
      </w:r>
      <w:r w:rsidRPr="00A65A1D">
        <w:rPr>
          <w:i/>
          <w:iCs/>
        </w:rPr>
        <w:t xml:space="preserve">See </w:t>
      </w:r>
      <w:bookmarkStart w:id="1" w:name="NetMeteringPolicyOrder"/>
      <w:r w:rsidRPr="00A65A1D">
        <w:rPr>
          <w:i/>
          <w:iCs/>
        </w:rPr>
        <w:t>Net Metering Policy Order</w:t>
      </w:r>
      <w:bookmarkEnd w:id="1"/>
      <w:r w:rsidRPr="00A65A1D">
        <w:t>.  The Commission adopted, as policy, a size limitation of 110% for net</w:t>
      </w:r>
      <w:r w:rsidR="00551A0F" w:rsidRPr="00A65A1D">
        <w:noBreakHyphen/>
      </w:r>
      <w:r w:rsidRPr="00A65A1D">
        <w:t xml:space="preserve">metered AESs owned and operated by third parties that are interconnected and placed on property owned or leased and operated by an electric utility customer.  </w:t>
      </w:r>
      <w:r w:rsidRPr="00A65A1D">
        <w:rPr>
          <w:i/>
          <w:iCs/>
        </w:rPr>
        <w:t>Id</w:t>
      </w:r>
      <w:r w:rsidRPr="00A65A1D">
        <w:t xml:space="preserve">. at 8.  This 110% limitation was intended to be used as criteria in designing a system that is installed as part of the third-party business model, and it does not apply to those systems directly owned or operated by a customer-generator who is not using the third-party owner or operator model.  </w:t>
      </w:r>
      <w:r w:rsidRPr="00A65A1D">
        <w:rPr>
          <w:i/>
          <w:iCs/>
        </w:rPr>
        <w:t>Id</w:t>
      </w:r>
      <w:r w:rsidRPr="00A65A1D">
        <w:t>. at 8-9.  The Commission did not include a kilowatt-hour output restriction on systems utilizing the third-party owner/operator business model.</w:t>
      </w:r>
    </w:p>
    <w:p w14:paraId="0FE8390C" w14:textId="5AE13C40" w:rsidR="000B1060" w:rsidRPr="00A65A1D" w:rsidRDefault="000B1060" w:rsidP="008E0D4C">
      <w:pPr>
        <w:pStyle w:val="OrderBodyText"/>
      </w:pPr>
    </w:p>
    <w:p w14:paraId="338DFA13" w14:textId="77777777" w:rsidR="000B1060" w:rsidRPr="00A65A1D" w:rsidRDefault="000B1060" w:rsidP="008E0D4C">
      <w:pPr>
        <w:pStyle w:val="OrderBodyText"/>
      </w:pPr>
      <w:r w:rsidRPr="00A65A1D">
        <w:t xml:space="preserve">In the </w:t>
      </w:r>
      <w:r w:rsidRPr="00A65A1D">
        <w:rPr>
          <w:i/>
          <w:iCs/>
        </w:rPr>
        <w:t>Net Metering Policy Order</w:t>
      </w:r>
      <w:r w:rsidRPr="00A65A1D">
        <w:t xml:space="preserve">, the Commission noted that it believed that the 110% design criterion would be a reasonable way to limit the possibility of merchant generators posing as customer-generators.  </w:t>
      </w:r>
      <w:r w:rsidRPr="00A65A1D">
        <w:rPr>
          <w:i/>
          <w:iCs/>
        </w:rPr>
        <w:t>Id</w:t>
      </w:r>
      <w:r w:rsidRPr="00A65A1D">
        <w:t>. at 8.  The Commission noted that this policy was intended to permit customer-generators who chose to contract with a third</w:t>
      </w:r>
      <w:r w:rsidRPr="00A65A1D">
        <w:noBreakHyphen/>
        <w:t>party to own and operate an AES located on property owned or leased and operated by that customer-generator to virtual net meter in the same manner as if that customer</w:t>
      </w:r>
      <w:r w:rsidRPr="00A65A1D">
        <w:noBreakHyphen/>
        <w:t xml:space="preserve">generator owned or operated the AES.  </w:t>
      </w:r>
    </w:p>
    <w:p w14:paraId="0DD15A9D" w14:textId="77777777" w:rsidR="000B1060" w:rsidRPr="00A65A1D" w:rsidRDefault="000B1060" w:rsidP="008E0D4C">
      <w:pPr>
        <w:pStyle w:val="OrderBodyText"/>
      </w:pPr>
    </w:p>
    <w:p w14:paraId="5C2869B4" w14:textId="77777777" w:rsidR="002913C7" w:rsidRPr="00A65A1D" w:rsidRDefault="00755755" w:rsidP="002913C7">
      <w:pPr>
        <w:pStyle w:val="OrderBodyText"/>
        <w:ind w:firstLine="0"/>
      </w:pPr>
      <w:r w:rsidRPr="00A65A1D">
        <w:t xml:space="preserve">The Commission’s policy adopted in 2012 is rooted in the Commission’s concerns over merchant generators obtaining retail value for excess energy from oversized AESs.  After adopting this policy in 2012, the Commission adopted regulations that sought to further preclude large merchant generators posing as customer-generators from receiving full retail value under net metering.  In 2016, the Commission made amendments to its </w:t>
      </w:r>
      <w:r w:rsidR="002913C7" w:rsidRPr="00A65A1D">
        <w:lastRenderedPageBreak/>
        <w:t xml:space="preserve">regulations in relation to the AEPS Act.  The Commission added the definitions “customer-generator” and “utility” to Section 75.1 of the Commission’s regulations to limit the entities who qualified for net metering.  52 Pa. Code § 75.1.  </w:t>
      </w:r>
      <w:r w:rsidR="002913C7" w:rsidRPr="00A65A1D">
        <w:rPr>
          <w:i/>
          <w:iCs/>
        </w:rPr>
        <w:t>See also</w:t>
      </w:r>
      <w:r w:rsidR="002913C7" w:rsidRPr="00A65A1D">
        <w:t xml:space="preserve"> </w:t>
      </w:r>
      <w:r w:rsidR="002913C7" w:rsidRPr="00A65A1D">
        <w:rPr>
          <w:i/>
          <w:iCs/>
        </w:rPr>
        <w:t>Implementation of the Alternative Energy Portfolio Standards Act of 2004</w:t>
      </w:r>
      <w:r w:rsidR="002913C7" w:rsidRPr="00A65A1D">
        <w:t>, Docket No. L</w:t>
      </w:r>
      <w:r w:rsidR="002913C7" w:rsidRPr="00A65A1D">
        <w:noBreakHyphen/>
        <w:t>2014-2404361 at 11-20 (Order entered October 27, 2016).  The Commission amended Section 75.12 to clarify the definition of virtual net metering by adding the requirement for independent load at each site where an AES is installed.  The Commission also defined “independent load” in Section 75.13(a)(1) as electric load having a purpose other than to support the operation, maintenance, or administration of the AES.  52 Pa. Code § 75.13(a)(1).</w:t>
      </w:r>
    </w:p>
    <w:p w14:paraId="156C10E2" w14:textId="77777777" w:rsidR="002913C7" w:rsidRPr="00A65A1D" w:rsidRDefault="002913C7" w:rsidP="002913C7">
      <w:pPr>
        <w:pStyle w:val="OrderBodyText"/>
      </w:pPr>
    </w:p>
    <w:p w14:paraId="6DD0768E" w14:textId="77777777" w:rsidR="002913C7" w:rsidRPr="00A65A1D" w:rsidRDefault="002913C7" w:rsidP="002913C7">
      <w:pPr>
        <w:pStyle w:val="SubHeadingOrder"/>
        <w:numPr>
          <w:ilvl w:val="0"/>
          <w:numId w:val="5"/>
        </w:numPr>
        <w:ind w:left="720" w:hanging="720"/>
        <w:outlineLvl w:val="1"/>
        <w:rPr>
          <w:b/>
          <w:bCs/>
          <w:u w:val="none"/>
        </w:rPr>
      </w:pPr>
      <w:r w:rsidRPr="00A65A1D">
        <w:rPr>
          <w:b/>
          <w:bCs/>
          <w:u w:val="none"/>
        </w:rPr>
        <w:t>Commonwealth Court’s Opinion</w:t>
      </w:r>
    </w:p>
    <w:p w14:paraId="71611839" w14:textId="77777777" w:rsidR="002913C7" w:rsidRPr="00A65A1D" w:rsidRDefault="002913C7" w:rsidP="002913C7">
      <w:pPr>
        <w:pStyle w:val="OrderBodyText"/>
      </w:pPr>
      <w:r w:rsidRPr="00A65A1D">
        <w:t xml:space="preserve">The Commonwealth Court declared the regulations at 52 Pa. Code </w:t>
      </w:r>
      <w:bookmarkStart w:id="2" w:name="_Hlk40452914"/>
      <w:r w:rsidRPr="00A65A1D">
        <w:t xml:space="preserve">§§ 75.12 (definition of virtual meter aggregation where we added references to independent load) and 75.13(a)(1) to be invalid and unenforceable. </w:t>
      </w:r>
      <w:r>
        <w:t xml:space="preserve"> </w:t>
      </w:r>
      <w:proofErr w:type="spellStart"/>
      <w:r>
        <w:rPr>
          <w:i/>
          <w:iCs/>
        </w:rPr>
        <w:t>Hommrich</w:t>
      </w:r>
      <w:proofErr w:type="spellEnd"/>
      <w:r>
        <w:rPr>
          <w:i/>
          <w:iCs/>
        </w:rPr>
        <w:t xml:space="preserve"> v. Pa. Pub. Util. Comm’n</w:t>
      </w:r>
      <w:r>
        <w:t xml:space="preserve">., 231 A.3d 1027 (Pa. </w:t>
      </w:r>
      <w:proofErr w:type="spellStart"/>
      <w:r>
        <w:t>Cmwlth</w:t>
      </w:r>
      <w:proofErr w:type="spellEnd"/>
      <w:r>
        <w:t xml:space="preserve">. 2020).  </w:t>
      </w:r>
      <w:r w:rsidRPr="00A65A1D">
        <w:t>Further, the Court found the definitions of “customer-generator” and “utility” in 52 Pa. Code § 75.1 to be invalid and unenforceable.</w:t>
      </w:r>
      <w:bookmarkEnd w:id="2"/>
      <w:r w:rsidRPr="00A65A1D">
        <w:t xml:space="preserve">  </w:t>
      </w:r>
      <w:r w:rsidRPr="00A65A1D">
        <w:rPr>
          <w:i/>
          <w:iCs/>
        </w:rPr>
        <w:t>Id</w:t>
      </w:r>
      <w:r w:rsidRPr="00A65A1D">
        <w:t>. at 1040.  The Court found the three remaining regulations that were challenged—</w:t>
      </w:r>
      <w:bookmarkStart w:id="3" w:name="_Hlk40453268"/>
      <w:r w:rsidRPr="00A65A1D">
        <w:t xml:space="preserve">52 Pa. Code §§ 75.13(a)(5), 75.16, and 75.17—to be valid and enforceable.  </w:t>
      </w:r>
      <w:r w:rsidRPr="00A65A1D">
        <w:rPr>
          <w:i/>
          <w:iCs/>
        </w:rPr>
        <w:t>Id</w:t>
      </w:r>
      <w:r w:rsidRPr="00A65A1D">
        <w:t>. at 1043-44.</w:t>
      </w:r>
    </w:p>
    <w:bookmarkEnd w:id="3"/>
    <w:p w14:paraId="34EB3F9D" w14:textId="77777777" w:rsidR="002913C7" w:rsidRPr="00A65A1D" w:rsidRDefault="002913C7" w:rsidP="002913C7">
      <w:pPr>
        <w:pStyle w:val="OrderBodyText"/>
      </w:pPr>
    </w:p>
    <w:p w14:paraId="051C27DF" w14:textId="44FBB1FA" w:rsidR="00913E15" w:rsidRPr="00A65A1D" w:rsidRDefault="002913C7" w:rsidP="002913C7">
      <w:pPr>
        <w:pStyle w:val="OrderBodyText"/>
      </w:pPr>
      <w:r w:rsidRPr="00A65A1D">
        <w:t xml:space="preserve">The Court found that Section 5 of the AEPS Act, 73 P.S. § 1648.5, grants legislative rule-making authority to the Commission to establish “technical and net metering interconnection rules for customer-generators” intending to own and operate qualifying AESs.  </w:t>
      </w:r>
      <w:r w:rsidRPr="00A65A1D">
        <w:rPr>
          <w:i/>
          <w:iCs/>
        </w:rPr>
        <w:t>Id</w:t>
      </w:r>
      <w:r w:rsidRPr="00A65A1D">
        <w:t xml:space="preserve">. at 1040.  The Court noted that legislative rulemaking by an administrative agency—as opposed to interpretive rule-making—is an exercise of legislative power that has the effect of law when it is (1) within the legislative power granted by the General Assembly; (2) issued pursuant to proper procedure; and (3) reasonable.  </w:t>
      </w:r>
      <w:r w:rsidRPr="00A65A1D">
        <w:rPr>
          <w:i/>
          <w:iCs/>
        </w:rPr>
        <w:t>Id</w:t>
      </w:r>
      <w:r w:rsidRPr="00A65A1D">
        <w:t>. at 1034 (</w:t>
      </w:r>
      <w:r w:rsidRPr="00A65A1D">
        <w:rPr>
          <w:i/>
          <w:iCs/>
        </w:rPr>
        <w:t xml:space="preserve">quoting </w:t>
      </w:r>
      <w:proofErr w:type="spellStart"/>
      <w:r w:rsidRPr="00A65A1D">
        <w:rPr>
          <w:i/>
          <w:iCs/>
        </w:rPr>
        <w:t>Popowsky</w:t>
      </w:r>
      <w:proofErr w:type="spellEnd"/>
      <w:r w:rsidRPr="00A65A1D">
        <w:rPr>
          <w:i/>
          <w:iCs/>
        </w:rPr>
        <w:t xml:space="preserve"> v. Pa. Pub. Util. Comm’n.</w:t>
      </w:r>
      <w:r w:rsidRPr="00A65A1D">
        <w:t xml:space="preserve">, 910 A.2d 38, 53 (Pa. 2006)).  The Court further noted that all regulations “must be consistent with the </w:t>
      </w:r>
      <w:r w:rsidR="00913E15" w:rsidRPr="00A65A1D">
        <w:lastRenderedPageBreak/>
        <w:t xml:space="preserve">statute under which they were promulgated.”  </w:t>
      </w:r>
      <w:r w:rsidR="00913E15" w:rsidRPr="00A65A1D">
        <w:rPr>
          <w:i/>
          <w:iCs/>
        </w:rPr>
        <w:t>Id</w:t>
      </w:r>
      <w:r w:rsidR="00913E15" w:rsidRPr="00A65A1D">
        <w:t xml:space="preserve">.  Both parties agreed that the regulations at issue were adopted pursuant to proper </w:t>
      </w:r>
      <w:r w:rsidR="00AC15C2" w:rsidRPr="00A65A1D">
        <w:t>procedure</w:t>
      </w:r>
      <w:r w:rsidR="00815A73" w:rsidRPr="00A65A1D">
        <w:t>,</w:t>
      </w:r>
      <w:r w:rsidR="00913E15" w:rsidRPr="00A65A1D">
        <w:t xml:space="preserve"> so the Court focused its analysis on the two remaining prongs:  the Commission’s authority to issue the regulations and whether the regulations are reasonable.</w:t>
      </w:r>
      <w:r w:rsidR="0023124A" w:rsidRPr="00A65A1D">
        <w:t xml:space="preserve">  </w:t>
      </w:r>
      <w:r w:rsidR="0023124A" w:rsidRPr="00A65A1D">
        <w:rPr>
          <w:i/>
          <w:iCs/>
        </w:rPr>
        <w:t>Id</w:t>
      </w:r>
      <w:r w:rsidR="0023124A" w:rsidRPr="00A65A1D">
        <w:t>.</w:t>
      </w:r>
    </w:p>
    <w:p w14:paraId="3A5FB7D5" w14:textId="47AE8D7D" w:rsidR="00913E15" w:rsidRPr="00A65A1D" w:rsidRDefault="00913E15" w:rsidP="008E0D4C">
      <w:pPr>
        <w:pStyle w:val="OrderBodyText"/>
      </w:pPr>
    </w:p>
    <w:p w14:paraId="5BB9F4BE" w14:textId="3B2A3355" w:rsidR="00E3333F" w:rsidRPr="00A65A1D" w:rsidRDefault="00E3333F" w:rsidP="008E0D4C">
      <w:pPr>
        <w:pStyle w:val="OrderBodyText"/>
      </w:pPr>
      <w:r w:rsidRPr="00A65A1D">
        <w:t xml:space="preserve">The Court held that under Section 5 of the AEPS Act, the General Assembly conferred relatively narrow authority on the Commission to “develop technical and net metering interconnection rules for customer-generators” intending to operate alternative energy systems. </w:t>
      </w:r>
      <w:r w:rsidR="008F5300" w:rsidRPr="00A65A1D">
        <w:t xml:space="preserve"> </w:t>
      </w:r>
      <w:r w:rsidR="008F5300" w:rsidRPr="00A65A1D">
        <w:rPr>
          <w:i/>
          <w:iCs/>
        </w:rPr>
        <w:t>Id</w:t>
      </w:r>
      <w:r w:rsidR="008F5300" w:rsidRPr="00A65A1D">
        <w:t xml:space="preserve">. at 1035 </w:t>
      </w:r>
      <w:r w:rsidR="00853F22" w:rsidRPr="00A65A1D">
        <w:t>(</w:t>
      </w:r>
      <w:r w:rsidR="008F5300" w:rsidRPr="00A65A1D">
        <w:t>citing</w:t>
      </w:r>
      <w:r w:rsidRPr="00A65A1D">
        <w:t xml:space="preserve"> 73 P.S. § 1648.5</w:t>
      </w:r>
      <w:r w:rsidR="00853F22" w:rsidRPr="00A65A1D">
        <w:t>)</w:t>
      </w:r>
      <w:r w:rsidRPr="00A65A1D">
        <w:t xml:space="preserve">.  This, according to the Court, did not represent a “broad grant of authority to do whatever is necessary to effectuate” the AEPS Act.  </w:t>
      </w:r>
      <w:r w:rsidRPr="00A65A1D">
        <w:rPr>
          <w:i/>
          <w:iCs/>
        </w:rPr>
        <w:t>Hommrich</w:t>
      </w:r>
      <w:r w:rsidRPr="00A65A1D">
        <w:t>, 231 A.3d at 1036.</w:t>
      </w:r>
    </w:p>
    <w:p w14:paraId="76F6FD24" w14:textId="77777777" w:rsidR="00E3333F" w:rsidRPr="00A65A1D" w:rsidRDefault="00E3333F" w:rsidP="008E0D4C">
      <w:pPr>
        <w:pStyle w:val="OrderBodyText"/>
      </w:pPr>
    </w:p>
    <w:p w14:paraId="4C5C2808" w14:textId="6EB44438" w:rsidR="00E3333F" w:rsidRPr="00A65A1D" w:rsidRDefault="00E3333F" w:rsidP="008E0D4C">
      <w:pPr>
        <w:pStyle w:val="OrderBodyText"/>
      </w:pPr>
      <w:r w:rsidRPr="00A65A1D">
        <w:t xml:space="preserve">The Court </w:t>
      </w:r>
      <w:r w:rsidR="008E03CA" w:rsidRPr="00A65A1D">
        <w:t xml:space="preserve">held that </w:t>
      </w:r>
      <w:r w:rsidRPr="00A65A1D">
        <w:t xml:space="preserve">the Commission </w:t>
      </w:r>
      <w:r w:rsidR="00543E53" w:rsidRPr="00A65A1D">
        <w:t>does not have</w:t>
      </w:r>
      <w:r w:rsidRPr="00A65A1D">
        <w:t xml:space="preserve"> general legislative rule</w:t>
      </w:r>
      <w:r w:rsidRPr="00A65A1D">
        <w:noBreakHyphen/>
        <w:t xml:space="preserve">making authority to promulgate and enforce the challenged net metering regulations under the Public Utility Code, 66 Pa.C.S. §§ 501, 502, 508, 701, 1501, 1504, 2807(e), and 3301(a).  </w:t>
      </w:r>
      <w:r w:rsidR="00076130" w:rsidRPr="00A65A1D">
        <w:rPr>
          <w:i/>
          <w:iCs/>
        </w:rPr>
        <w:t>Id</w:t>
      </w:r>
      <w:r w:rsidR="00076130" w:rsidRPr="00A65A1D">
        <w:t xml:space="preserve">. at </w:t>
      </w:r>
      <w:r w:rsidR="00F66331" w:rsidRPr="00A65A1D">
        <w:t xml:space="preserve">1037.  </w:t>
      </w:r>
      <w:r w:rsidRPr="00A65A1D">
        <w:t>The Court recognized the Commission’s broad authority to regulate public utilities under the Public Utility Code; however, the Court found that the customer</w:t>
      </w:r>
      <w:r w:rsidRPr="00A65A1D">
        <w:noBreakHyphen/>
        <w:t xml:space="preserve">generators at issue here are not public utilities. </w:t>
      </w:r>
      <w:r w:rsidR="00F66331" w:rsidRPr="00A65A1D">
        <w:t xml:space="preserve"> </w:t>
      </w:r>
      <w:r w:rsidR="00F66331" w:rsidRPr="00A65A1D">
        <w:rPr>
          <w:i/>
          <w:iCs/>
        </w:rPr>
        <w:t>Id</w:t>
      </w:r>
      <w:r w:rsidR="00F66331" w:rsidRPr="00A65A1D">
        <w:t xml:space="preserve">. </w:t>
      </w:r>
      <w:r w:rsidRPr="00A65A1D">
        <w:t xml:space="preserve"> As such, the Court held that the Commission’s authority derives solely from the AEPS Act under which its authority is limited to developing technical and net metering interconnection rules.</w:t>
      </w:r>
      <w:r w:rsidR="008B6C9C" w:rsidRPr="00A65A1D">
        <w:t xml:space="preserve">  </w:t>
      </w:r>
      <w:r w:rsidR="008B6C9C" w:rsidRPr="00A65A1D">
        <w:rPr>
          <w:i/>
          <w:iCs/>
        </w:rPr>
        <w:t>Id</w:t>
      </w:r>
      <w:r w:rsidR="008B6C9C" w:rsidRPr="00A65A1D">
        <w:t>.</w:t>
      </w:r>
    </w:p>
    <w:p w14:paraId="1873E2F1" w14:textId="30D60182" w:rsidR="00BA7E6F" w:rsidRPr="00A65A1D" w:rsidRDefault="00BA7E6F" w:rsidP="008E0D4C">
      <w:pPr>
        <w:pStyle w:val="OrderBodyText"/>
      </w:pPr>
    </w:p>
    <w:p w14:paraId="540B5791" w14:textId="58110089" w:rsidR="00BA7E6F" w:rsidRPr="00A65A1D" w:rsidRDefault="00BA7E6F" w:rsidP="008E0D4C">
      <w:pPr>
        <w:pStyle w:val="OrderBodyText"/>
      </w:pPr>
      <w:r w:rsidRPr="00A65A1D">
        <w:t xml:space="preserve">The Pennsylvania Supreme Court’s order entered on February 17, 2021, affirmed the Commonwealth Court’s opinion and order, thus establishing the Commonwealth Court’s opinion as the final authority on the validity of the Commission’s regulations at issue. </w:t>
      </w:r>
      <w:r w:rsidR="008B6C9C" w:rsidRPr="00A65A1D">
        <w:t xml:space="preserve"> </w:t>
      </w:r>
      <w:r w:rsidR="008B6C9C" w:rsidRPr="00A65A1D">
        <w:rPr>
          <w:i/>
          <w:iCs/>
        </w:rPr>
        <w:t>Hommrich</w:t>
      </w:r>
      <w:r w:rsidR="008B6C9C" w:rsidRPr="00A65A1D">
        <w:t>, 245 A.3d 637</w:t>
      </w:r>
      <w:r w:rsidR="005267F3" w:rsidRPr="00A65A1D">
        <w:t xml:space="preserve">. </w:t>
      </w:r>
      <w:r w:rsidRPr="00A65A1D">
        <w:t xml:space="preserve"> Accordingly, the Commission’s regulations at 52 Pa. Code §§ 75.12, 75.13(a)(1) and its definitions of “customer generator” and “utility” at 52 Pa. Code § 75.1 are invalid and unenforceable.</w:t>
      </w:r>
    </w:p>
    <w:p w14:paraId="71899051" w14:textId="059EEA64" w:rsidR="00166DA5" w:rsidRPr="00A65A1D" w:rsidRDefault="00B15495" w:rsidP="008E0D4C">
      <w:pPr>
        <w:pStyle w:val="SubHeadingOrder"/>
        <w:keepNext/>
        <w:numPr>
          <w:ilvl w:val="0"/>
          <w:numId w:val="5"/>
        </w:numPr>
        <w:ind w:left="720" w:hanging="720"/>
        <w:outlineLvl w:val="1"/>
        <w:rPr>
          <w:b/>
          <w:bCs/>
          <w:u w:val="none"/>
        </w:rPr>
      </w:pPr>
      <w:r w:rsidRPr="00A65A1D">
        <w:rPr>
          <w:b/>
          <w:bCs/>
          <w:u w:val="none"/>
        </w:rPr>
        <w:lastRenderedPageBreak/>
        <w:t>Disposition</w:t>
      </w:r>
    </w:p>
    <w:p w14:paraId="2AB266C3" w14:textId="76D0249F" w:rsidR="00637E28" w:rsidRPr="00A65A1D" w:rsidRDefault="00971456" w:rsidP="008E0D4C">
      <w:pPr>
        <w:pStyle w:val="OrderBodyText"/>
        <w:keepNext/>
        <w:widowControl/>
      </w:pPr>
      <w:r w:rsidRPr="00A65A1D">
        <w:t xml:space="preserve">The Commonwealth Court’s review in </w:t>
      </w:r>
      <w:r w:rsidRPr="00A65A1D">
        <w:rPr>
          <w:i/>
          <w:iCs/>
        </w:rPr>
        <w:t xml:space="preserve">Hommrich </w:t>
      </w:r>
      <w:r w:rsidRPr="00A65A1D">
        <w:t xml:space="preserve">of the Commission’s regulations considered whether the Commission’s regulations differed from the statute.  </w:t>
      </w:r>
      <w:r w:rsidR="00637E28" w:rsidRPr="00A65A1D">
        <w:t xml:space="preserve">The Court noted that the General Assembly conferred narrow rulemaking authority to the Commission in Section 5 of the AEPS Act which authorizes the Commission to “develop technical and net metering interconnection rules for customer-generators intending to operate renewable onsite generators in parallel with the electric utility grid . . . .”  </w:t>
      </w:r>
      <w:r w:rsidR="009616D6" w:rsidRPr="00A65A1D">
        <w:rPr>
          <w:i/>
          <w:iCs/>
        </w:rPr>
        <w:t>Hommrich</w:t>
      </w:r>
      <w:r w:rsidR="009616D6" w:rsidRPr="00A65A1D">
        <w:t xml:space="preserve">, </w:t>
      </w:r>
      <w:r w:rsidR="00AE1186" w:rsidRPr="00A65A1D">
        <w:t>231 A.3d at 1035</w:t>
      </w:r>
      <w:r w:rsidR="00637E28" w:rsidRPr="00A65A1D">
        <w:t xml:space="preserve"> </w:t>
      </w:r>
      <w:r w:rsidR="00637E28" w:rsidRPr="00A65A1D">
        <w:rPr>
          <w:i/>
          <w:iCs/>
        </w:rPr>
        <w:t>citing</w:t>
      </w:r>
      <w:r w:rsidR="00637E28" w:rsidRPr="00A65A1D">
        <w:t xml:space="preserve"> 73 P.S. § 1648.5.  The court noted that the AEPS Act did not give the Commission broad authority to do whatever is necessary to effectuate the enabling statute.  </w:t>
      </w:r>
      <w:r w:rsidR="00637E28" w:rsidRPr="00A65A1D">
        <w:rPr>
          <w:i/>
          <w:iCs/>
        </w:rPr>
        <w:t>Id</w:t>
      </w:r>
      <w:r w:rsidR="00637E28" w:rsidRPr="00A65A1D">
        <w:t xml:space="preserve">.  </w:t>
      </w:r>
    </w:p>
    <w:p w14:paraId="1D04966B" w14:textId="0762BC64" w:rsidR="00BA7E6F" w:rsidRPr="00A65A1D" w:rsidRDefault="00BA7E6F" w:rsidP="008E0D4C">
      <w:pPr>
        <w:pStyle w:val="OrderBodyText"/>
      </w:pPr>
    </w:p>
    <w:p w14:paraId="05048555" w14:textId="0AA0E8E7" w:rsidR="00E00D1B" w:rsidRPr="00A65A1D" w:rsidRDefault="00E00D1B" w:rsidP="008E0D4C">
      <w:pPr>
        <w:pStyle w:val="OrderBodyText"/>
      </w:pPr>
      <w:r w:rsidRPr="00A65A1D">
        <w:t xml:space="preserve">The Commonwealth Court made a finding that is directly relevant to the Commissions’ </w:t>
      </w:r>
      <w:r w:rsidRPr="00A65A1D">
        <w:fldChar w:fldCharType="begin"/>
      </w:r>
      <w:r w:rsidRPr="00A65A1D">
        <w:instrText xml:space="preserve"> REF NetMeteringPolicyOrder \h </w:instrText>
      </w:r>
      <w:r w:rsidR="00A65A1D">
        <w:instrText xml:space="preserve"> \* MERGEFORMAT </w:instrText>
      </w:r>
      <w:r w:rsidRPr="00A65A1D">
        <w:fldChar w:fldCharType="separate"/>
      </w:r>
      <w:r w:rsidRPr="00A65A1D">
        <w:rPr>
          <w:i/>
          <w:iCs/>
        </w:rPr>
        <w:t>Net Metering Policy Order</w:t>
      </w:r>
      <w:r w:rsidRPr="00A65A1D">
        <w:fldChar w:fldCharType="end"/>
      </w:r>
      <w:r w:rsidRPr="00A65A1D">
        <w:t xml:space="preserve">.  The Court noted that while it recognizes the Commission’s broad authority in regulating public utilities under the Public Utility Code it determined that it was not dealing with “public utilities” in </w:t>
      </w:r>
      <w:r w:rsidRPr="00A65A1D">
        <w:rPr>
          <w:i/>
          <w:iCs/>
        </w:rPr>
        <w:t>Hommrich</w:t>
      </w:r>
      <w:r w:rsidRPr="00A65A1D">
        <w:t xml:space="preserve"> with respect to customer-generators.  </w:t>
      </w:r>
      <w:r w:rsidRPr="00A65A1D">
        <w:rPr>
          <w:i/>
          <w:iCs/>
        </w:rPr>
        <w:t>Id</w:t>
      </w:r>
      <w:r w:rsidRPr="00A65A1D">
        <w:t>. at 1037.  It determined that the AEPS Act applies to “customer</w:t>
      </w:r>
      <w:r w:rsidRPr="00A65A1D">
        <w:noBreakHyphen/>
        <w:t xml:space="preserve">generators,” which </w:t>
      </w:r>
      <w:proofErr w:type="gramStart"/>
      <w:r w:rsidRPr="00A65A1D">
        <w:t>by definition are</w:t>
      </w:r>
      <w:proofErr w:type="gramEnd"/>
      <w:r w:rsidRPr="00A65A1D">
        <w:t xml:space="preserve"> not public utilities.  </w:t>
      </w:r>
      <w:r w:rsidRPr="00A65A1D">
        <w:rPr>
          <w:i/>
          <w:iCs/>
        </w:rPr>
        <w:t>Id</w:t>
      </w:r>
      <w:r w:rsidRPr="00A65A1D">
        <w:t>.  The Court relied on this rationale in its holding that the Commission’s authority to regulate customer</w:t>
      </w:r>
      <w:r w:rsidRPr="00A65A1D">
        <w:noBreakHyphen/>
        <w:t xml:space="preserve">generators derives solely from the AEPS Act, and not the Public Utility Code.  </w:t>
      </w:r>
      <w:r w:rsidRPr="00A65A1D">
        <w:rPr>
          <w:i/>
          <w:iCs/>
        </w:rPr>
        <w:t>Id</w:t>
      </w:r>
      <w:r w:rsidRPr="00A65A1D">
        <w:t>.</w:t>
      </w:r>
    </w:p>
    <w:p w14:paraId="7C242BCD" w14:textId="12B14120" w:rsidR="00D40DBD" w:rsidRPr="00A65A1D" w:rsidRDefault="00D40DBD" w:rsidP="008E0D4C">
      <w:pPr>
        <w:pStyle w:val="OrderBodyText"/>
      </w:pPr>
    </w:p>
    <w:p w14:paraId="52A60D4B" w14:textId="5A1395A5" w:rsidR="00773ED2" w:rsidRPr="00A65A1D" w:rsidRDefault="00D40DBD" w:rsidP="008E0D4C">
      <w:pPr>
        <w:pStyle w:val="OrderBodyText"/>
      </w:pPr>
      <w:r w:rsidRPr="00A65A1D">
        <w:t xml:space="preserve">The </w:t>
      </w:r>
      <w:r w:rsidR="00491934" w:rsidRPr="00A65A1D">
        <w:fldChar w:fldCharType="begin"/>
      </w:r>
      <w:r w:rsidR="00491934" w:rsidRPr="00A65A1D">
        <w:instrText xml:space="preserve"> REF NetMeteringPolicyOrder \h </w:instrText>
      </w:r>
      <w:r w:rsidR="00A65A1D">
        <w:instrText xml:space="preserve"> \* MERGEFORMAT </w:instrText>
      </w:r>
      <w:r w:rsidR="00491934" w:rsidRPr="00A65A1D">
        <w:fldChar w:fldCharType="separate"/>
      </w:r>
      <w:r w:rsidR="00491934" w:rsidRPr="00A65A1D">
        <w:rPr>
          <w:i/>
          <w:iCs/>
        </w:rPr>
        <w:t>Net Metering Policy Order</w:t>
      </w:r>
      <w:r w:rsidR="00491934" w:rsidRPr="00A65A1D">
        <w:fldChar w:fldCharType="end"/>
      </w:r>
      <w:r w:rsidRPr="00A65A1D">
        <w:t xml:space="preserve"> sets forth how the Commission views third-party net metering entities and imposes a design criterion of a system not exceeding 110% of the customer-generator’s electric needs.  Like the Commission’s regulations requiring “independent load” and defining “utility” and “customer-generator” the Court would likely apply the same review on the Commission’s policy statement as imposing a requirement that is not otherwise provided for in the AEPS Act.  As the Commonwealth Court has held in </w:t>
      </w:r>
      <w:r w:rsidRPr="00A65A1D">
        <w:rPr>
          <w:i/>
          <w:iCs/>
        </w:rPr>
        <w:t>Hommrich</w:t>
      </w:r>
      <w:r w:rsidRPr="00A65A1D">
        <w:t xml:space="preserve"> that the Commission’s authority over net metering derives </w:t>
      </w:r>
    </w:p>
    <w:p w14:paraId="392A6003" w14:textId="77777777" w:rsidR="00773ED2" w:rsidRPr="00A65A1D" w:rsidRDefault="00773ED2" w:rsidP="008E0D4C">
      <w:pPr>
        <w:pStyle w:val="OrderBodyText"/>
      </w:pPr>
    </w:p>
    <w:p w14:paraId="131B5B5C" w14:textId="4758EA89" w:rsidR="00D40DBD" w:rsidRPr="00A65A1D" w:rsidRDefault="00D40DBD" w:rsidP="008E0D4C">
      <w:pPr>
        <w:pStyle w:val="OrderBodyText"/>
        <w:ind w:firstLine="0"/>
      </w:pPr>
      <w:r w:rsidRPr="00A65A1D">
        <w:lastRenderedPageBreak/>
        <w:t>exclusively from the AEPS Act the Commission’s policy statement would also be reviewed in this</w:t>
      </w:r>
      <w:r w:rsidR="00B51104" w:rsidRPr="00A65A1D">
        <w:t xml:space="preserve"> </w:t>
      </w:r>
      <w:r w:rsidR="00924DCC" w:rsidRPr="00A65A1D">
        <w:t>vane</w:t>
      </w:r>
      <w:r w:rsidRPr="00A65A1D">
        <w:t>.</w:t>
      </w:r>
    </w:p>
    <w:p w14:paraId="000FBA49" w14:textId="766A44E7" w:rsidR="00893C52" w:rsidRPr="00A65A1D" w:rsidRDefault="00893C52" w:rsidP="008E0D4C">
      <w:pPr>
        <w:pStyle w:val="OrderBodyText"/>
      </w:pPr>
    </w:p>
    <w:p w14:paraId="3613930B" w14:textId="77777777" w:rsidR="00893C52" w:rsidRPr="00A65A1D" w:rsidRDefault="00893C52" w:rsidP="008E0D4C">
      <w:pPr>
        <w:pStyle w:val="OrderBodyText"/>
        <w:rPr>
          <w:rStyle w:val="cohl"/>
          <w:rFonts w:ascii="Source Sans Pro" w:hAnsi="Source Sans Pro"/>
          <w:color w:val="3D3D3D"/>
          <w:bdr w:val="none" w:sz="0" w:space="0" w:color="auto" w:frame="1"/>
        </w:rPr>
      </w:pPr>
      <w:r w:rsidRPr="00A65A1D">
        <w:t>The AEPS Act does not define third-party entities and it further does not impose any limitations on the sizes of AESs in relation to the electric needs of customer</w:t>
      </w:r>
      <w:r w:rsidRPr="00A65A1D">
        <w:noBreakHyphen/>
        <w:t>generators.  The AEPS Act simply defines a customer</w:t>
      </w:r>
      <w:r w:rsidRPr="00A65A1D">
        <w:noBreakHyphen/>
        <w:t xml:space="preserve">generator, in relevant part, as: </w:t>
      </w:r>
    </w:p>
    <w:p w14:paraId="2B81194E" w14:textId="3B648026" w:rsidR="00893C52" w:rsidRPr="00A65A1D" w:rsidRDefault="00893C52" w:rsidP="008E0D4C">
      <w:pPr>
        <w:pStyle w:val="OrderBlockQuote"/>
      </w:pPr>
      <w:r w:rsidRPr="00A65A1D">
        <w:rPr>
          <w:rStyle w:val="cohl"/>
          <w:bdr w:val="none" w:sz="0" w:space="0" w:color="auto" w:frame="1"/>
        </w:rPr>
        <w:t>A nonutility owner or operator</w:t>
      </w:r>
      <w:r w:rsidRPr="00A65A1D">
        <w:t> of a net metered distributed generation system with a nameplate capacity of not greater than 50 kilowatts if installed at a residential service or not larger than 3,000 kilowatts at other customer service locations</w:t>
      </w:r>
      <w:r w:rsidR="00BD7010" w:rsidRPr="00A65A1D">
        <w:t>[.]</w:t>
      </w:r>
      <w:r w:rsidRPr="00A65A1D">
        <w:t xml:space="preserve"> </w:t>
      </w:r>
    </w:p>
    <w:p w14:paraId="12B48D92" w14:textId="77777777" w:rsidR="00893C52" w:rsidRPr="00A65A1D" w:rsidRDefault="00893C52" w:rsidP="008E0D4C">
      <w:pPr>
        <w:pStyle w:val="p5"/>
        <w:tabs>
          <w:tab w:val="clear" w:pos="742"/>
        </w:tabs>
        <w:ind w:left="0" w:firstLine="720"/>
        <w:rPr>
          <w:sz w:val="26"/>
          <w:szCs w:val="26"/>
        </w:rPr>
      </w:pPr>
    </w:p>
    <w:p w14:paraId="33A7D16A" w14:textId="0EA38DCA" w:rsidR="00893C52" w:rsidRPr="00A65A1D" w:rsidRDefault="00893C52" w:rsidP="008E0D4C">
      <w:pPr>
        <w:pStyle w:val="OrderBodyText"/>
        <w:ind w:firstLine="0"/>
      </w:pPr>
      <w:r w:rsidRPr="00A65A1D">
        <w:t>73 P.S. § 1648.2 (“customer-generator”).</w:t>
      </w:r>
    </w:p>
    <w:p w14:paraId="338340C5" w14:textId="4D589CDB" w:rsidR="00C2589E" w:rsidRPr="00A65A1D" w:rsidRDefault="00C2589E" w:rsidP="008E0D4C">
      <w:pPr>
        <w:pStyle w:val="OrderBodyText"/>
        <w:ind w:firstLine="0"/>
      </w:pPr>
    </w:p>
    <w:p w14:paraId="1A76C42F" w14:textId="3C60CFD5" w:rsidR="00BA5DE3" w:rsidRPr="00A65A1D" w:rsidRDefault="00D800D7" w:rsidP="008E0D4C">
      <w:pPr>
        <w:pStyle w:val="OrderBodyText"/>
      </w:pPr>
      <w:r w:rsidRPr="00A65A1D">
        <w:t xml:space="preserve">The </w:t>
      </w:r>
      <w:r w:rsidRPr="00A65A1D">
        <w:fldChar w:fldCharType="begin"/>
      </w:r>
      <w:r w:rsidRPr="00A65A1D">
        <w:instrText xml:space="preserve"> REF NetMeteringPolicyOrder \h </w:instrText>
      </w:r>
      <w:r w:rsidR="00A65A1D">
        <w:instrText xml:space="preserve"> \* MERGEFORMAT </w:instrText>
      </w:r>
      <w:r w:rsidRPr="00A65A1D">
        <w:fldChar w:fldCharType="separate"/>
      </w:r>
      <w:r w:rsidRPr="00A65A1D">
        <w:rPr>
          <w:i/>
          <w:iCs/>
        </w:rPr>
        <w:t>Net Metering Policy Order</w:t>
      </w:r>
      <w:r w:rsidRPr="00A65A1D">
        <w:fldChar w:fldCharType="end"/>
      </w:r>
      <w:r w:rsidRPr="00A65A1D">
        <w:t xml:space="preserve"> alters the AEPS Act’s “customer</w:t>
      </w:r>
      <w:r w:rsidRPr="00A65A1D">
        <w:noBreakHyphen/>
        <w:t xml:space="preserve">generator” definition in two ways.  First, the Commission announced it would recognize third-party operators as “operators” under the AEPS Act’s definition of “customer-generator.”  </w:t>
      </w:r>
      <w:r w:rsidRPr="00A65A1D">
        <w:fldChar w:fldCharType="begin"/>
      </w:r>
      <w:r w:rsidRPr="00A65A1D">
        <w:instrText xml:space="preserve"> REF NetMeteringPolicyOrder \h  \* MERGEFORMAT </w:instrText>
      </w:r>
      <w:r w:rsidRPr="00A65A1D">
        <w:fldChar w:fldCharType="separate"/>
      </w:r>
      <w:r w:rsidRPr="00A65A1D">
        <w:rPr>
          <w:i/>
          <w:iCs/>
        </w:rPr>
        <w:t>Net Metering Policy Order</w:t>
      </w:r>
      <w:r w:rsidRPr="00A65A1D">
        <w:fldChar w:fldCharType="end"/>
      </w:r>
      <w:r w:rsidRPr="00A65A1D">
        <w:t xml:space="preserve"> at 6-7.  Second, it announced that the size of a third-party owned AES had to be designed to provide no more than 110% of the energy needs at the site of interconnection.  </w:t>
      </w:r>
      <w:r w:rsidRPr="00A65A1D">
        <w:rPr>
          <w:i/>
          <w:iCs/>
        </w:rPr>
        <w:t>Id</w:t>
      </w:r>
      <w:r w:rsidR="00563A1D" w:rsidRPr="00A65A1D">
        <w:t>.</w:t>
      </w:r>
      <w:r w:rsidRPr="00A65A1D">
        <w:t xml:space="preserve"> at 8-9.  </w:t>
      </w:r>
      <w:r w:rsidR="00D51833" w:rsidRPr="00A65A1D">
        <w:t xml:space="preserve">Based on the reasoning </w:t>
      </w:r>
      <w:r w:rsidR="00E10622" w:rsidRPr="00A65A1D">
        <w:t xml:space="preserve">in </w:t>
      </w:r>
      <w:r w:rsidR="00E10622" w:rsidRPr="00A65A1D">
        <w:rPr>
          <w:i/>
          <w:iCs/>
        </w:rPr>
        <w:t>Hommrich</w:t>
      </w:r>
      <w:r w:rsidR="00977780" w:rsidRPr="00A65A1D">
        <w:t xml:space="preserve">, </w:t>
      </w:r>
      <w:r w:rsidR="00092E86" w:rsidRPr="00A65A1D">
        <w:t>the policy</w:t>
      </w:r>
      <w:r w:rsidR="00977780" w:rsidRPr="00A65A1D">
        <w:t xml:space="preserve"> set forth in the Commission’s </w:t>
      </w:r>
      <w:r w:rsidR="00977780" w:rsidRPr="00A65A1D">
        <w:rPr>
          <w:i/>
          <w:iCs/>
        </w:rPr>
        <w:t>Net Metering Policy Order</w:t>
      </w:r>
      <w:r w:rsidR="00977780" w:rsidRPr="00A65A1D">
        <w:t xml:space="preserve"> would likely be stricken as invalid if challenged in court.  </w:t>
      </w:r>
      <w:r w:rsidR="00E10622" w:rsidRPr="00A65A1D">
        <w:t>Accordingly</w:t>
      </w:r>
      <w:r w:rsidR="00222E77" w:rsidRPr="00A65A1D">
        <w:t>, it will no longer be the policy of the Commission to limit third-party owned and operated systems to 110% of the customer-generator’s annual electric consumption.</w:t>
      </w:r>
    </w:p>
    <w:p w14:paraId="351C2099" w14:textId="22289040" w:rsidR="00D40DBD" w:rsidRPr="00A65A1D" w:rsidRDefault="00D40DBD" w:rsidP="008E0D4C">
      <w:pPr>
        <w:pStyle w:val="OrderBodyText"/>
      </w:pPr>
    </w:p>
    <w:p w14:paraId="353868F7" w14:textId="77777777" w:rsidR="00955C89" w:rsidRPr="00A65A1D" w:rsidRDefault="00955C89" w:rsidP="008E0D4C">
      <w:pPr>
        <w:overflowPunct/>
        <w:autoSpaceDE/>
        <w:autoSpaceDN/>
        <w:adjustRightInd/>
        <w:textAlignment w:val="auto"/>
        <w:rPr>
          <w:rFonts w:eastAsiaTheme="majorEastAsia"/>
          <w:color w:val="373739"/>
          <w:sz w:val="26"/>
          <w:szCs w:val="26"/>
          <w:shd w:val="clear" w:color="auto" w:fill="FFFFFF"/>
        </w:rPr>
      </w:pPr>
      <w:r w:rsidRPr="00A65A1D">
        <w:rPr>
          <w:color w:val="373739"/>
          <w:sz w:val="26"/>
          <w:szCs w:val="26"/>
          <w:shd w:val="clear" w:color="auto" w:fill="FFFFFF"/>
        </w:rPr>
        <w:br w:type="page"/>
      </w:r>
    </w:p>
    <w:p w14:paraId="752DC38E" w14:textId="2F60F233" w:rsidR="000C4F8D" w:rsidRPr="00A65A1D" w:rsidRDefault="000C4F8D" w:rsidP="008E0D4C">
      <w:pPr>
        <w:pStyle w:val="Heading1"/>
        <w:spacing w:before="0" w:line="360" w:lineRule="auto"/>
        <w:jc w:val="center"/>
        <w:rPr>
          <w:rFonts w:ascii="Times New Roman" w:hAnsi="Times New Roman" w:cs="Times New Roman"/>
          <w:b/>
          <w:bCs/>
          <w:color w:val="373739"/>
          <w:sz w:val="26"/>
          <w:szCs w:val="26"/>
          <w:shd w:val="clear" w:color="auto" w:fill="FFFFFF"/>
        </w:rPr>
      </w:pPr>
      <w:r w:rsidRPr="00A65A1D">
        <w:rPr>
          <w:rFonts w:ascii="Times New Roman" w:hAnsi="Times New Roman" w:cs="Times New Roman"/>
          <w:b/>
          <w:bCs/>
          <w:color w:val="373739"/>
          <w:sz w:val="26"/>
          <w:szCs w:val="26"/>
          <w:shd w:val="clear" w:color="auto" w:fill="FFFFFF"/>
        </w:rPr>
        <w:lastRenderedPageBreak/>
        <w:t>CONCLUSION</w:t>
      </w:r>
    </w:p>
    <w:p w14:paraId="0932A179" w14:textId="54688CA8" w:rsidR="000C4F8D" w:rsidRPr="00A65A1D" w:rsidRDefault="000C4F8D" w:rsidP="008E0D4C">
      <w:pPr>
        <w:pStyle w:val="p3"/>
        <w:keepNext/>
        <w:tabs>
          <w:tab w:val="clear" w:pos="204"/>
        </w:tabs>
        <w:spacing w:line="360" w:lineRule="auto"/>
        <w:ind w:firstLine="720"/>
        <w:rPr>
          <w:b/>
          <w:bCs/>
          <w:sz w:val="26"/>
          <w:szCs w:val="26"/>
        </w:rPr>
      </w:pPr>
      <w:r w:rsidRPr="00A65A1D">
        <w:rPr>
          <w:sz w:val="26"/>
          <w:szCs w:val="26"/>
        </w:rPr>
        <w:t xml:space="preserve">For the reasons set forth herein, </w:t>
      </w:r>
      <w:r w:rsidR="00BF53B3" w:rsidRPr="00A65A1D">
        <w:rPr>
          <w:sz w:val="26"/>
          <w:szCs w:val="26"/>
        </w:rPr>
        <w:t>the Commission withdraws th</w:t>
      </w:r>
      <w:r w:rsidR="00BE65D9" w:rsidRPr="00A65A1D">
        <w:rPr>
          <w:sz w:val="26"/>
          <w:szCs w:val="26"/>
        </w:rPr>
        <w:t>e</w:t>
      </w:r>
      <w:r w:rsidR="00BF53B3" w:rsidRPr="00A65A1D">
        <w:rPr>
          <w:sz w:val="26"/>
          <w:szCs w:val="26"/>
        </w:rPr>
        <w:t xml:space="preserve"> policy </w:t>
      </w:r>
      <w:r w:rsidR="00BE65D9" w:rsidRPr="00A65A1D">
        <w:rPr>
          <w:sz w:val="26"/>
          <w:szCs w:val="26"/>
        </w:rPr>
        <w:t xml:space="preserve">set forth in the </w:t>
      </w:r>
      <w:r w:rsidR="00BE65D9" w:rsidRPr="00A65A1D">
        <w:rPr>
          <w:i/>
          <w:iCs/>
          <w:sz w:val="26"/>
          <w:szCs w:val="26"/>
        </w:rPr>
        <w:t>Net Metering Policy Order</w:t>
      </w:r>
      <w:r w:rsidR="00BE65D9" w:rsidRPr="00A65A1D">
        <w:rPr>
          <w:sz w:val="26"/>
          <w:szCs w:val="26"/>
        </w:rPr>
        <w:t xml:space="preserve"> </w:t>
      </w:r>
      <w:r w:rsidR="00BF53B3" w:rsidRPr="00A65A1D">
        <w:rPr>
          <w:sz w:val="26"/>
          <w:szCs w:val="26"/>
        </w:rPr>
        <w:t>and it will no longer be the policy of the Commission to limit third</w:t>
      </w:r>
      <w:r w:rsidR="001552F5" w:rsidRPr="00A65A1D">
        <w:rPr>
          <w:sz w:val="26"/>
          <w:szCs w:val="26"/>
        </w:rPr>
        <w:noBreakHyphen/>
      </w:r>
      <w:r w:rsidR="00BF53B3" w:rsidRPr="00A65A1D">
        <w:rPr>
          <w:sz w:val="26"/>
          <w:szCs w:val="26"/>
        </w:rPr>
        <w:t>party owned and operated systems to 110% of the customer-generator’s annual electric consumption.</w:t>
      </w:r>
      <w:r w:rsidR="001552F5" w:rsidRPr="00A65A1D">
        <w:rPr>
          <w:sz w:val="26"/>
          <w:szCs w:val="26"/>
        </w:rPr>
        <w:t xml:space="preserve"> </w:t>
      </w:r>
      <w:r w:rsidR="00546DDB" w:rsidRPr="00A65A1D">
        <w:rPr>
          <w:sz w:val="26"/>
          <w:szCs w:val="26"/>
        </w:rPr>
        <w:t xml:space="preserve"> </w:t>
      </w:r>
      <w:r w:rsidR="001552F5" w:rsidRPr="00A65A1D">
        <w:rPr>
          <w:sz w:val="26"/>
          <w:szCs w:val="26"/>
        </w:rPr>
        <w:t xml:space="preserve">The </w:t>
      </w:r>
      <w:r w:rsidR="009626EE" w:rsidRPr="00A65A1D">
        <w:rPr>
          <w:sz w:val="26"/>
          <w:szCs w:val="26"/>
        </w:rPr>
        <w:t>Commission</w:t>
      </w:r>
      <w:r w:rsidR="00546DDB" w:rsidRPr="00A65A1D">
        <w:rPr>
          <w:sz w:val="26"/>
          <w:szCs w:val="26"/>
        </w:rPr>
        <w:t xml:space="preserve"> therefore enters this order to </w:t>
      </w:r>
      <w:r w:rsidR="009626EE" w:rsidRPr="00A65A1D">
        <w:rPr>
          <w:sz w:val="26"/>
          <w:szCs w:val="26"/>
        </w:rPr>
        <w:t xml:space="preserve">withdraw </w:t>
      </w:r>
      <w:r w:rsidR="00F841F8" w:rsidRPr="00A65A1D">
        <w:rPr>
          <w:sz w:val="26"/>
          <w:szCs w:val="26"/>
        </w:rPr>
        <w:t xml:space="preserve">its </w:t>
      </w:r>
      <w:r w:rsidR="00F841F8" w:rsidRPr="00A65A1D">
        <w:rPr>
          <w:i/>
          <w:iCs/>
          <w:sz w:val="26"/>
          <w:szCs w:val="26"/>
        </w:rPr>
        <w:t xml:space="preserve">Net Metering Policy </w:t>
      </w:r>
      <w:r w:rsidR="00E44F01" w:rsidRPr="00A65A1D">
        <w:rPr>
          <w:i/>
          <w:iCs/>
          <w:sz w:val="26"/>
          <w:szCs w:val="26"/>
        </w:rPr>
        <w:t>Order</w:t>
      </w:r>
      <w:r w:rsidR="00F841F8" w:rsidRPr="00A65A1D">
        <w:rPr>
          <w:sz w:val="26"/>
          <w:szCs w:val="26"/>
        </w:rPr>
        <w:t xml:space="preserve"> at this docket</w:t>
      </w:r>
      <w:r w:rsidR="00CA339B" w:rsidRPr="00A65A1D">
        <w:rPr>
          <w:sz w:val="26"/>
          <w:szCs w:val="26"/>
        </w:rPr>
        <w:t xml:space="preserve">; </w:t>
      </w:r>
      <w:r w:rsidR="00546DDB" w:rsidRPr="00A65A1D">
        <w:rPr>
          <w:b/>
          <w:bCs/>
          <w:sz w:val="26"/>
          <w:szCs w:val="26"/>
        </w:rPr>
        <w:t>THEREFORE</w:t>
      </w:r>
      <w:r w:rsidR="009173F2" w:rsidRPr="00A65A1D">
        <w:rPr>
          <w:b/>
          <w:bCs/>
          <w:sz w:val="26"/>
          <w:szCs w:val="26"/>
        </w:rPr>
        <w:t>,</w:t>
      </w:r>
    </w:p>
    <w:p w14:paraId="42529513" w14:textId="77777777" w:rsidR="000C4F8D" w:rsidRPr="00A65A1D" w:rsidRDefault="000C4F8D" w:rsidP="008E0D4C">
      <w:pPr>
        <w:pStyle w:val="OrderBodyText"/>
      </w:pPr>
    </w:p>
    <w:p w14:paraId="20390C41" w14:textId="5E9D523B" w:rsidR="007354DA" w:rsidRPr="00A65A1D" w:rsidRDefault="009173F2" w:rsidP="008E0D4C">
      <w:pPr>
        <w:rPr>
          <w:b/>
          <w:bCs/>
          <w:sz w:val="26"/>
          <w:szCs w:val="26"/>
        </w:rPr>
      </w:pPr>
      <w:r w:rsidRPr="00A65A1D">
        <w:rPr>
          <w:sz w:val="26"/>
          <w:szCs w:val="26"/>
        </w:rPr>
        <w:tab/>
      </w:r>
      <w:r w:rsidR="007354DA" w:rsidRPr="00A65A1D">
        <w:rPr>
          <w:b/>
          <w:bCs/>
          <w:sz w:val="26"/>
          <w:szCs w:val="26"/>
        </w:rPr>
        <w:t>IT IS ORDERED:</w:t>
      </w:r>
    </w:p>
    <w:p w14:paraId="0E92351C" w14:textId="77777777" w:rsidR="0080702E" w:rsidRPr="00A65A1D" w:rsidRDefault="0080702E" w:rsidP="008E0D4C">
      <w:pPr>
        <w:spacing w:line="360" w:lineRule="auto"/>
        <w:rPr>
          <w:b/>
          <w:sz w:val="26"/>
          <w:szCs w:val="26"/>
        </w:rPr>
      </w:pPr>
    </w:p>
    <w:p w14:paraId="4797D8A1" w14:textId="56DDE2E0" w:rsidR="007354DA" w:rsidRPr="00A65A1D" w:rsidRDefault="008308E0" w:rsidP="008E0D4C">
      <w:pPr>
        <w:pStyle w:val="ListParagraph"/>
        <w:numPr>
          <w:ilvl w:val="0"/>
          <w:numId w:val="4"/>
        </w:numPr>
        <w:spacing w:line="360" w:lineRule="auto"/>
        <w:ind w:left="90" w:firstLine="630"/>
        <w:rPr>
          <w:sz w:val="26"/>
          <w:szCs w:val="26"/>
        </w:rPr>
      </w:pPr>
      <w:r w:rsidRPr="00A65A1D">
        <w:rPr>
          <w:sz w:val="26"/>
          <w:szCs w:val="26"/>
        </w:rPr>
        <w:t xml:space="preserve">That the Commission’s policy statement </w:t>
      </w:r>
      <w:r w:rsidR="00F77C96" w:rsidRPr="00A65A1D">
        <w:rPr>
          <w:sz w:val="26"/>
          <w:szCs w:val="26"/>
        </w:rPr>
        <w:t>announced in</w:t>
      </w:r>
      <w:r w:rsidR="003F2828" w:rsidRPr="00A65A1D">
        <w:rPr>
          <w:sz w:val="26"/>
          <w:szCs w:val="26"/>
        </w:rPr>
        <w:t xml:space="preserve"> its</w:t>
      </w:r>
      <w:r w:rsidR="000310F8" w:rsidRPr="00A65A1D">
        <w:rPr>
          <w:sz w:val="26"/>
          <w:szCs w:val="26"/>
        </w:rPr>
        <w:t xml:space="preserve"> final order at</w:t>
      </w:r>
      <w:r w:rsidR="003F2828" w:rsidRPr="00A65A1D">
        <w:rPr>
          <w:sz w:val="26"/>
          <w:szCs w:val="26"/>
        </w:rPr>
        <w:t xml:space="preserve"> </w:t>
      </w:r>
      <w:r w:rsidR="003F2828" w:rsidRPr="00A65A1D">
        <w:rPr>
          <w:i/>
          <w:iCs/>
          <w:sz w:val="26"/>
          <w:szCs w:val="26"/>
        </w:rPr>
        <w:t xml:space="preserve">Net Metering – Use of </w:t>
      </w:r>
      <w:r w:rsidR="002977CD" w:rsidRPr="00A65A1D">
        <w:rPr>
          <w:i/>
          <w:iCs/>
          <w:sz w:val="26"/>
          <w:szCs w:val="26"/>
        </w:rPr>
        <w:t>Third-Party</w:t>
      </w:r>
      <w:r w:rsidR="003F2828" w:rsidRPr="00A65A1D">
        <w:rPr>
          <w:i/>
          <w:iCs/>
          <w:sz w:val="26"/>
          <w:szCs w:val="26"/>
        </w:rPr>
        <w:t xml:space="preserve"> Operators</w:t>
      </w:r>
      <w:r w:rsidR="003F2828" w:rsidRPr="00A65A1D">
        <w:rPr>
          <w:sz w:val="26"/>
          <w:szCs w:val="26"/>
        </w:rPr>
        <w:t>, Docket No.</w:t>
      </w:r>
      <w:r w:rsidR="00F77C96" w:rsidRPr="00A65A1D">
        <w:rPr>
          <w:sz w:val="26"/>
          <w:szCs w:val="26"/>
        </w:rPr>
        <w:t xml:space="preserve"> M-2011-2249441</w:t>
      </w:r>
      <w:r w:rsidR="003F2828" w:rsidRPr="00A65A1D">
        <w:rPr>
          <w:sz w:val="26"/>
          <w:szCs w:val="26"/>
        </w:rPr>
        <w:t xml:space="preserve"> (Order entered March 29, 2012) is </w:t>
      </w:r>
      <w:r w:rsidR="00424246" w:rsidRPr="00A65A1D">
        <w:rPr>
          <w:sz w:val="26"/>
          <w:szCs w:val="26"/>
        </w:rPr>
        <w:t>withdrawn.</w:t>
      </w:r>
    </w:p>
    <w:p w14:paraId="05E9FB79" w14:textId="77777777" w:rsidR="009173F2" w:rsidRPr="00A65A1D" w:rsidRDefault="009173F2" w:rsidP="008E0D4C">
      <w:pPr>
        <w:pStyle w:val="ListParagraph"/>
        <w:spacing w:line="360" w:lineRule="auto"/>
        <w:rPr>
          <w:sz w:val="26"/>
          <w:szCs w:val="26"/>
        </w:rPr>
      </w:pPr>
    </w:p>
    <w:p w14:paraId="50E7DD02" w14:textId="68DE1F2D" w:rsidR="005E1A3A" w:rsidRPr="00A65A1D" w:rsidRDefault="0032211A" w:rsidP="008E0D4C">
      <w:pPr>
        <w:pStyle w:val="ListParagraph"/>
        <w:numPr>
          <w:ilvl w:val="0"/>
          <w:numId w:val="4"/>
        </w:numPr>
        <w:spacing w:line="360" w:lineRule="auto"/>
        <w:ind w:left="90" w:firstLine="630"/>
        <w:rPr>
          <w:sz w:val="26"/>
          <w:szCs w:val="26"/>
        </w:rPr>
      </w:pPr>
      <w:r w:rsidRPr="00A65A1D">
        <w:rPr>
          <w:sz w:val="26"/>
          <w:szCs w:val="26"/>
        </w:rPr>
        <w:t xml:space="preserve">That </w:t>
      </w:r>
      <w:r w:rsidR="00167A2A" w:rsidRPr="00A65A1D">
        <w:rPr>
          <w:sz w:val="26"/>
          <w:szCs w:val="26"/>
        </w:rPr>
        <w:t xml:space="preserve">it is no longer the policy of the Commission </w:t>
      </w:r>
      <w:r w:rsidR="009D6094" w:rsidRPr="00A65A1D">
        <w:rPr>
          <w:sz w:val="26"/>
          <w:szCs w:val="26"/>
        </w:rPr>
        <w:t xml:space="preserve">that net metered alternative energy systems owned and operated by </w:t>
      </w:r>
      <w:r w:rsidR="009173F2" w:rsidRPr="00A65A1D">
        <w:rPr>
          <w:sz w:val="26"/>
          <w:szCs w:val="26"/>
        </w:rPr>
        <w:t>third parties</w:t>
      </w:r>
      <w:r w:rsidR="009D6094" w:rsidRPr="00A65A1D">
        <w:rPr>
          <w:sz w:val="26"/>
          <w:szCs w:val="26"/>
        </w:rPr>
        <w:t xml:space="preserve"> that are interconnected and placed on property owned or </w:t>
      </w:r>
      <w:r w:rsidR="000F54C5" w:rsidRPr="00A65A1D">
        <w:rPr>
          <w:sz w:val="26"/>
          <w:szCs w:val="26"/>
        </w:rPr>
        <w:t>leased and operated by an electric utility customer be designed to generate no more than 110% of that utility customer’s annual electricity consumption, at the interconnection meter location and all qualifying virtual meter locations.</w:t>
      </w:r>
    </w:p>
    <w:p w14:paraId="2C5EF5CA" w14:textId="77777777" w:rsidR="009173F2" w:rsidRPr="00A65A1D" w:rsidRDefault="009173F2" w:rsidP="008E0D4C">
      <w:pPr>
        <w:pStyle w:val="ListParagraph"/>
        <w:spacing w:line="360" w:lineRule="auto"/>
        <w:rPr>
          <w:sz w:val="26"/>
          <w:szCs w:val="26"/>
        </w:rPr>
      </w:pPr>
    </w:p>
    <w:p w14:paraId="52446F3F" w14:textId="3A4F6A38" w:rsidR="00527062" w:rsidRPr="00A65A1D" w:rsidRDefault="00527062" w:rsidP="008E0D4C">
      <w:pPr>
        <w:pStyle w:val="ListParagraph"/>
        <w:numPr>
          <w:ilvl w:val="0"/>
          <w:numId w:val="4"/>
        </w:numPr>
        <w:spacing w:line="360" w:lineRule="auto"/>
        <w:ind w:left="90" w:firstLine="630"/>
        <w:rPr>
          <w:sz w:val="26"/>
          <w:szCs w:val="26"/>
        </w:rPr>
      </w:pPr>
      <w:r w:rsidRPr="00A65A1D">
        <w:rPr>
          <w:sz w:val="26"/>
          <w:szCs w:val="26"/>
        </w:rPr>
        <w:t xml:space="preserve">That it is no longer the </w:t>
      </w:r>
      <w:r w:rsidR="000B7473" w:rsidRPr="00A65A1D">
        <w:rPr>
          <w:sz w:val="26"/>
          <w:szCs w:val="26"/>
        </w:rPr>
        <w:t>policy of the Commission that customer-generators with third-party owned and operated systems shall provide with the interconnection application adequate supporting data to demonstrate that the alternative energy system is designed to provide no more than 110% of the customer-generator’s annual electric usage at all qualifying meter locations.</w:t>
      </w:r>
    </w:p>
    <w:p w14:paraId="5AD0C621" w14:textId="77777777" w:rsidR="006F09F6" w:rsidRPr="00A65A1D" w:rsidRDefault="006F09F6" w:rsidP="008E0D4C">
      <w:pPr>
        <w:pStyle w:val="ListParagraph"/>
        <w:spacing w:line="360" w:lineRule="auto"/>
        <w:rPr>
          <w:sz w:val="26"/>
          <w:szCs w:val="26"/>
        </w:rPr>
      </w:pPr>
    </w:p>
    <w:p w14:paraId="6BF34218" w14:textId="44A6E679" w:rsidR="00A466B0" w:rsidRPr="00A65A1D" w:rsidRDefault="007354DA" w:rsidP="008E0D4C">
      <w:pPr>
        <w:pStyle w:val="ListParagraph"/>
        <w:numPr>
          <w:ilvl w:val="0"/>
          <w:numId w:val="4"/>
        </w:numPr>
        <w:spacing w:line="360" w:lineRule="auto"/>
        <w:ind w:left="90" w:firstLine="630"/>
        <w:rPr>
          <w:sz w:val="26"/>
          <w:szCs w:val="26"/>
        </w:rPr>
      </w:pPr>
      <w:r w:rsidRPr="00A65A1D">
        <w:rPr>
          <w:sz w:val="26"/>
          <w:szCs w:val="26"/>
        </w:rPr>
        <w:t xml:space="preserve">That the Secretary serve a copy of this Order </w:t>
      </w:r>
      <w:r w:rsidR="00F8247D" w:rsidRPr="00A65A1D">
        <w:rPr>
          <w:sz w:val="26"/>
          <w:szCs w:val="26"/>
        </w:rPr>
        <w:t xml:space="preserve">on </w:t>
      </w:r>
      <w:r w:rsidR="0084135A" w:rsidRPr="00A65A1D">
        <w:rPr>
          <w:sz w:val="26"/>
          <w:szCs w:val="26"/>
        </w:rPr>
        <w:t xml:space="preserve">the </w:t>
      </w:r>
      <w:r w:rsidR="00422B4B" w:rsidRPr="00A65A1D">
        <w:rPr>
          <w:sz w:val="26"/>
          <w:szCs w:val="26"/>
        </w:rPr>
        <w:t>Office of Consumer Advocate, the Office of Small Business Advocate, the Bureau of Investigation and Enforcement</w:t>
      </w:r>
      <w:r w:rsidR="00A466B0" w:rsidRPr="00A65A1D">
        <w:rPr>
          <w:sz w:val="26"/>
          <w:szCs w:val="26"/>
        </w:rPr>
        <w:t>, and</w:t>
      </w:r>
      <w:r w:rsidR="003075CA" w:rsidRPr="00A65A1D">
        <w:rPr>
          <w:sz w:val="26"/>
          <w:szCs w:val="26"/>
        </w:rPr>
        <w:t xml:space="preserve"> </w:t>
      </w:r>
      <w:r w:rsidR="002B7E97" w:rsidRPr="00A65A1D">
        <w:rPr>
          <w:sz w:val="26"/>
          <w:szCs w:val="26"/>
        </w:rPr>
        <w:t>all</w:t>
      </w:r>
      <w:r w:rsidR="00366BAE" w:rsidRPr="00A65A1D">
        <w:rPr>
          <w:sz w:val="26"/>
          <w:szCs w:val="26"/>
        </w:rPr>
        <w:t xml:space="preserve"> </w:t>
      </w:r>
      <w:r w:rsidR="00F8247D" w:rsidRPr="00A65A1D">
        <w:rPr>
          <w:sz w:val="26"/>
          <w:szCs w:val="26"/>
        </w:rPr>
        <w:t>electric distribution companies</w:t>
      </w:r>
      <w:r w:rsidR="00BF7134" w:rsidRPr="00A65A1D">
        <w:rPr>
          <w:sz w:val="26"/>
          <w:szCs w:val="26"/>
        </w:rPr>
        <w:t>.</w:t>
      </w:r>
    </w:p>
    <w:p w14:paraId="79E88E72" w14:textId="5D648D24" w:rsidR="007354DA" w:rsidRPr="00A65A1D" w:rsidRDefault="00A466B0" w:rsidP="008E0D4C">
      <w:pPr>
        <w:pStyle w:val="ListParagraph"/>
        <w:numPr>
          <w:ilvl w:val="0"/>
          <w:numId w:val="4"/>
        </w:numPr>
        <w:spacing w:line="360" w:lineRule="auto"/>
        <w:ind w:left="90" w:firstLine="630"/>
        <w:rPr>
          <w:sz w:val="26"/>
          <w:szCs w:val="26"/>
        </w:rPr>
      </w:pPr>
      <w:r w:rsidRPr="00A65A1D">
        <w:rPr>
          <w:sz w:val="26"/>
          <w:szCs w:val="26"/>
        </w:rPr>
        <w:lastRenderedPageBreak/>
        <w:t xml:space="preserve">That the </w:t>
      </w:r>
      <w:r w:rsidR="000B4D10" w:rsidRPr="00A65A1D">
        <w:rPr>
          <w:sz w:val="26"/>
          <w:szCs w:val="26"/>
        </w:rPr>
        <w:t>Law Bureau</w:t>
      </w:r>
      <w:r w:rsidR="007354DA" w:rsidRPr="00A65A1D">
        <w:rPr>
          <w:sz w:val="26"/>
          <w:szCs w:val="26"/>
        </w:rPr>
        <w:t xml:space="preserve"> </w:t>
      </w:r>
      <w:r w:rsidR="00BF7134" w:rsidRPr="00A65A1D">
        <w:rPr>
          <w:sz w:val="26"/>
          <w:szCs w:val="26"/>
        </w:rPr>
        <w:t xml:space="preserve">shall </w:t>
      </w:r>
      <w:r w:rsidR="009B1EE2" w:rsidRPr="00A65A1D">
        <w:rPr>
          <w:sz w:val="26"/>
          <w:szCs w:val="26"/>
        </w:rPr>
        <w:t>publish</w:t>
      </w:r>
      <w:r w:rsidR="007354DA" w:rsidRPr="00A65A1D">
        <w:rPr>
          <w:sz w:val="26"/>
          <w:szCs w:val="26"/>
        </w:rPr>
        <w:t xml:space="preserve"> a copy of this Order in the </w:t>
      </w:r>
      <w:r w:rsidR="007354DA" w:rsidRPr="00A65A1D">
        <w:rPr>
          <w:i/>
          <w:iCs/>
          <w:sz w:val="26"/>
          <w:szCs w:val="26"/>
        </w:rPr>
        <w:t>Pennsylvania Bulletin</w:t>
      </w:r>
      <w:r w:rsidR="007354DA" w:rsidRPr="00A65A1D">
        <w:rPr>
          <w:sz w:val="26"/>
          <w:szCs w:val="26"/>
        </w:rPr>
        <w:t>.</w:t>
      </w:r>
    </w:p>
    <w:p w14:paraId="6B5AA9A8" w14:textId="77777777" w:rsidR="00D13FAC" w:rsidRPr="00A65A1D" w:rsidRDefault="00D13FAC" w:rsidP="008E0D4C">
      <w:pPr>
        <w:pStyle w:val="ListParagraph"/>
        <w:rPr>
          <w:sz w:val="26"/>
          <w:szCs w:val="26"/>
        </w:rPr>
      </w:pPr>
    </w:p>
    <w:p w14:paraId="75878733" w14:textId="31E1219D" w:rsidR="00D13FAC" w:rsidRPr="00A65A1D" w:rsidRDefault="00D13FAC" w:rsidP="008E0D4C">
      <w:pPr>
        <w:pStyle w:val="ListParagraph"/>
        <w:numPr>
          <w:ilvl w:val="0"/>
          <w:numId w:val="4"/>
        </w:numPr>
        <w:spacing w:line="360" w:lineRule="auto"/>
        <w:ind w:left="90" w:firstLine="630"/>
        <w:rPr>
          <w:sz w:val="26"/>
          <w:szCs w:val="26"/>
        </w:rPr>
      </w:pPr>
      <w:r w:rsidRPr="00A65A1D">
        <w:rPr>
          <w:sz w:val="26"/>
          <w:szCs w:val="26"/>
        </w:rPr>
        <w:t>That this Docket be marked Closed.</w:t>
      </w:r>
    </w:p>
    <w:p w14:paraId="507543E6" w14:textId="77777777" w:rsidR="0080702E" w:rsidRPr="00A65A1D" w:rsidRDefault="0080702E" w:rsidP="008E0D4C">
      <w:pPr>
        <w:spacing w:line="360" w:lineRule="auto"/>
        <w:rPr>
          <w:sz w:val="26"/>
          <w:szCs w:val="26"/>
        </w:rPr>
      </w:pPr>
    </w:p>
    <w:p w14:paraId="624F63CC" w14:textId="77777777" w:rsidR="00503929" w:rsidRPr="00A65A1D" w:rsidRDefault="00503929" w:rsidP="008E0D4C">
      <w:pPr>
        <w:overflowPunct/>
        <w:autoSpaceDE/>
        <w:autoSpaceDN/>
        <w:adjustRightInd/>
        <w:textAlignment w:val="auto"/>
        <w:rPr>
          <w:sz w:val="26"/>
          <w:szCs w:val="26"/>
        </w:rPr>
      </w:pPr>
    </w:p>
    <w:p w14:paraId="1AB48472" w14:textId="3AC342F9" w:rsidR="00AF6380" w:rsidRPr="00A65A1D" w:rsidRDefault="00AF6380" w:rsidP="008E0D4C">
      <w:pPr>
        <w:overflowPunct/>
        <w:autoSpaceDE/>
        <w:autoSpaceDN/>
        <w:adjustRightInd/>
        <w:spacing w:line="360" w:lineRule="auto"/>
        <w:textAlignment w:val="auto"/>
        <w:rPr>
          <w:sz w:val="26"/>
          <w:szCs w:val="26"/>
        </w:rPr>
      </w:pPr>
    </w:p>
    <w:p w14:paraId="1A49BC25" w14:textId="7BEF951D" w:rsidR="007354DA" w:rsidRPr="00A65A1D" w:rsidRDefault="007354DA" w:rsidP="008E0D4C">
      <w:pPr>
        <w:tabs>
          <w:tab w:val="left" w:pos="742"/>
        </w:tabs>
        <w:rPr>
          <w:sz w:val="26"/>
          <w:szCs w:val="26"/>
        </w:rPr>
      </w:pPr>
    </w:p>
    <w:p w14:paraId="19C389CC" w14:textId="4E98A9CC" w:rsidR="007354DA" w:rsidRPr="00A65A1D" w:rsidRDefault="00604BE2" w:rsidP="008E0D4C">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617871A9" wp14:editId="70FBA399">
            <wp:simplePos x="0" y="0"/>
            <wp:positionH relativeFrom="column">
              <wp:posOffset>3114675</wp:posOffset>
            </wp:positionH>
            <wp:positionV relativeFrom="paragraph">
              <wp:posOffset>75565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354DA" w:rsidRPr="00A65A1D">
        <w:rPr>
          <w:b/>
          <w:bCs/>
          <w:sz w:val="26"/>
          <w:szCs w:val="26"/>
        </w:rPr>
        <w:t>BY THE COMMISSION</w:t>
      </w:r>
      <w:r w:rsidR="000660C9" w:rsidRPr="00A65A1D">
        <w:rPr>
          <w:b/>
          <w:bCs/>
          <w:sz w:val="26"/>
          <w:szCs w:val="26"/>
        </w:rPr>
        <w:t>,</w:t>
      </w:r>
    </w:p>
    <w:p w14:paraId="7D8A0CFB" w14:textId="10A2BF7C" w:rsidR="007354DA" w:rsidRPr="00A65A1D" w:rsidRDefault="00604BE2" w:rsidP="00604BE2">
      <w:pPr>
        <w:tabs>
          <w:tab w:val="left" w:pos="5625"/>
        </w:tabs>
        <w:rPr>
          <w:bCs/>
          <w:sz w:val="26"/>
          <w:szCs w:val="26"/>
        </w:rPr>
      </w:pPr>
      <w:r>
        <w:rPr>
          <w:bCs/>
          <w:sz w:val="26"/>
          <w:szCs w:val="26"/>
        </w:rPr>
        <w:tab/>
      </w:r>
    </w:p>
    <w:p w14:paraId="330038E1" w14:textId="77777777" w:rsidR="009173F2" w:rsidRPr="00A65A1D" w:rsidRDefault="009173F2" w:rsidP="008E0D4C">
      <w:pPr>
        <w:tabs>
          <w:tab w:val="left" w:pos="5057"/>
        </w:tabs>
        <w:rPr>
          <w:bCs/>
          <w:sz w:val="26"/>
          <w:szCs w:val="26"/>
        </w:rPr>
      </w:pPr>
    </w:p>
    <w:p w14:paraId="3420EA07" w14:textId="77777777" w:rsidR="001773BC" w:rsidRPr="00A65A1D" w:rsidRDefault="001773BC" w:rsidP="008E0D4C">
      <w:pPr>
        <w:tabs>
          <w:tab w:val="left" w:pos="6128"/>
        </w:tabs>
        <w:rPr>
          <w:sz w:val="26"/>
          <w:szCs w:val="26"/>
        </w:rPr>
      </w:pPr>
    </w:p>
    <w:p w14:paraId="6DBED74C" w14:textId="77777777" w:rsidR="007354DA" w:rsidRPr="00A65A1D" w:rsidRDefault="007354DA" w:rsidP="008E0D4C">
      <w:pPr>
        <w:pStyle w:val="p18"/>
        <w:ind w:left="5062"/>
        <w:rPr>
          <w:sz w:val="26"/>
          <w:szCs w:val="26"/>
        </w:rPr>
      </w:pPr>
      <w:r w:rsidRPr="00A65A1D">
        <w:rPr>
          <w:sz w:val="26"/>
          <w:szCs w:val="26"/>
        </w:rPr>
        <w:t>Rosemary Chiavetta</w:t>
      </w:r>
    </w:p>
    <w:p w14:paraId="4D5666C2" w14:textId="5DC7BCC7" w:rsidR="007354DA" w:rsidRPr="00A65A1D" w:rsidRDefault="007354DA" w:rsidP="008E0D4C">
      <w:pPr>
        <w:pStyle w:val="p18"/>
        <w:ind w:left="5062"/>
        <w:rPr>
          <w:sz w:val="26"/>
          <w:szCs w:val="26"/>
        </w:rPr>
      </w:pPr>
      <w:r w:rsidRPr="00A65A1D">
        <w:rPr>
          <w:sz w:val="26"/>
          <w:szCs w:val="26"/>
        </w:rPr>
        <w:t>Secretary</w:t>
      </w:r>
    </w:p>
    <w:p w14:paraId="52A1FCED" w14:textId="77777777" w:rsidR="0080702E" w:rsidRPr="00A65A1D" w:rsidRDefault="0080702E" w:rsidP="008E0D4C">
      <w:pPr>
        <w:pStyle w:val="p18"/>
        <w:ind w:left="5062"/>
        <w:rPr>
          <w:sz w:val="26"/>
          <w:szCs w:val="26"/>
        </w:rPr>
      </w:pPr>
    </w:p>
    <w:p w14:paraId="06B10CE7" w14:textId="77777777" w:rsidR="007354DA" w:rsidRPr="00A65A1D" w:rsidRDefault="007354DA" w:rsidP="008E0D4C">
      <w:pPr>
        <w:pStyle w:val="p14"/>
        <w:rPr>
          <w:sz w:val="26"/>
          <w:szCs w:val="26"/>
        </w:rPr>
      </w:pPr>
      <w:r w:rsidRPr="00A65A1D">
        <w:rPr>
          <w:sz w:val="26"/>
          <w:szCs w:val="26"/>
        </w:rPr>
        <w:t>(SEAL)</w:t>
      </w:r>
    </w:p>
    <w:p w14:paraId="5148A706" w14:textId="77777777" w:rsidR="00A4326E" w:rsidRPr="00A65A1D" w:rsidRDefault="00A4326E" w:rsidP="008E0D4C">
      <w:pPr>
        <w:pStyle w:val="p14"/>
        <w:rPr>
          <w:sz w:val="26"/>
          <w:szCs w:val="26"/>
        </w:rPr>
      </w:pPr>
    </w:p>
    <w:p w14:paraId="6B3C785B" w14:textId="4028C91E" w:rsidR="008B2202" w:rsidRPr="00A65A1D" w:rsidRDefault="007354DA" w:rsidP="008E0D4C">
      <w:pPr>
        <w:pStyle w:val="p14"/>
        <w:spacing w:line="360" w:lineRule="auto"/>
        <w:rPr>
          <w:sz w:val="26"/>
          <w:szCs w:val="26"/>
        </w:rPr>
      </w:pPr>
      <w:r w:rsidRPr="00A65A1D">
        <w:rPr>
          <w:sz w:val="26"/>
          <w:szCs w:val="26"/>
        </w:rPr>
        <w:t xml:space="preserve">ORDER ADOPTED:  </w:t>
      </w:r>
      <w:r w:rsidR="00FC42D4" w:rsidRPr="00A65A1D">
        <w:rPr>
          <w:sz w:val="26"/>
          <w:szCs w:val="26"/>
        </w:rPr>
        <w:t>February 24, 2022</w:t>
      </w:r>
    </w:p>
    <w:p w14:paraId="30952F0E" w14:textId="762D0C43" w:rsidR="00003D45" w:rsidRPr="00A65A1D" w:rsidRDefault="007354DA" w:rsidP="008E0D4C">
      <w:pPr>
        <w:pStyle w:val="p14"/>
        <w:spacing w:line="360" w:lineRule="auto"/>
        <w:rPr>
          <w:sz w:val="26"/>
          <w:szCs w:val="26"/>
        </w:rPr>
      </w:pPr>
      <w:r w:rsidRPr="00A65A1D">
        <w:rPr>
          <w:sz w:val="26"/>
          <w:szCs w:val="26"/>
        </w:rPr>
        <w:t xml:space="preserve">ORDER ENTERED: </w:t>
      </w:r>
      <w:r w:rsidR="00604BE2">
        <w:rPr>
          <w:sz w:val="26"/>
          <w:szCs w:val="26"/>
        </w:rPr>
        <w:t>February 24, 2022</w:t>
      </w:r>
    </w:p>
    <w:sectPr w:rsidR="00003D45" w:rsidRPr="00A65A1D" w:rsidSect="00D90346">
      <w:footerReference w:type="even"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6ED4" w14:textId="77777777" w:rsidR="00C64A79" w:rsidRDefault="00C64A79">
      <w:r>
        <w:separator/>
      </w:r>
    </w:p>
    <w:p w14:paraId="1E607097" w14:textId="77777777" w:rsidR="00C64A79" w:rsidRDefault="00C64A79"/>
  </w:endnote>
  <w:endnote w:type="continuationSeparator" w:id="0">
    <w:p w14:paraId="56D3E8BE" w14:textId="77777777" w:rsidR="00C64A79" w:rsidRDefault="00C64A79">
      <w:r>
        <w:continuationSeparator/>
      </w:r>
    </w:p>
    <w:p w14:paraId="1A9499D1" w14:textId="77777777" w:rsidR="00C64A79" w:rsidRDefault="00C64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BA8" w14:textId="77777777" w:rsidR="00061828" w:rsidRDefault="00061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B96B2" w14:textId="77777777" w:rsidR="00061828" w:rsidRDefault="00061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68C3" w14:textId="77777777" w:rsidR="00061828" w:rsidRPr="0080702E" w:rsidRDefault="00061828">
    <w:pPr>
      <w:pStyle w:val="Footer"/>
      <w:framePr w:wrap="around" w:vAnchor="text" w:hAnchor="margin" w:xAlign="center" w:y="1"/>
      <w:rPr>
        <w:rStyle w:val="PageNumber"/>
        <w:szCs w:val="24"/>
      </w:rPr>
    </w:pPr>
    <w:r w:rsidRPr="0080702E">
      <w:rPr>
        <w:rStyle w:val="PageNumber"/>
        <w:szCs w:val="24"/>
      </w:rPr>
      <w:fldChar w:fldCharType="begin"/>
    </w:r>
    <w:r w:rsidRPr="0080702E">
      <w:rPr>
        <w:rStyle w:val="PageNumber"/>
        <w:szCs w:val="24"/>
      </w:rPr>
      <w:instrText xml:space="preserve">PAGE  </w:instrText>
    </w:r>
    <w:r w:rsidRPr="0080702E">
      <w:rPr>
        <w:rStyle w:val="PageNumber"/>
        <w:szCs w:val="24"/>
      </w:rPr>
      <w:fldChar w:fldCharType="separate"/>
    </w:r>
    <w:r w:rsidRPr="0080702E">
      <w:rPr>
        <w:rStyle w:val="PageNumber"/>
        <w:noProof/>
        <w:szCs w:val="24"/>
      </w:rPr>
      <w:t>5</w:t>
    </w:r>
    <w:r w:rsidRPr="0080702E">
      <w:rPr>
        <w:rStyle w:val="PageNumber"/>
        <w:szCs w:val="24"/>
      </w:rPr>
      <w:fldChar w:fldCharType="end"/>
    </w:r>
  </w:p>
  <w:p w14:paraId="23F1D330" w14:textId="77777777" w:rsidR="00061828" w:rsidRPr="00742D36" w:rsidRDefault="00061828" w:rsidP="00742FD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6899" w14:textId="77777777" w:rsidR="00C64A79" w:rsidRDefault="00C64A79">
      <w:r>
        <w:separator/>
      </w:r>
    </w:p>
    <w:p w14:paraId="54B18DD9" w14:textId="77777777" w:rsidR="00C64A79" w:rsidRDefault="00C64A79"/>
  </w:footnote>
  <w:footnote w:type="continuationSeparator" w:id="0">
    <w:p w14:paraId="7DEE34F7" w14:textId="77777777" w:rsidR="00C64A79" w:rsidRDefault="00C64A79">
      <w:r>
        <w:continuationSeparator/>
      </w:r>
    </w:p>
    <w:p w14:paraId="3672D474" w14:textId="77777777" w:rsidR="00C64A79" w:rsidRDefault="00C64A79"/>
  </w:footnote>
  <w:footnote w:id="1">
    <w:p w14:paraId="0D24460A" w14:textId="77777777" w:rsidR="00E93395" w:rsidRPr="00662AEA" w:rsidRDefault="00E93395" w:rsidP="00E93395">
      <w:pPr>
        <w:pStyle w:val="FootnoteText"/>
        <w:rPr>
          <w:sz w:val="22"/>
          <w:szCs w:val="22"/>
        </w:rPr>
      </w:pPr>
      <w:r w:rsidRPr="00662AEA">
        <w:rPr>
          <w:rStyle w:val="FootnoteReference"/>
          <w:sz w:val="22"/>
          <w:szCs w:val="22"/>
        </w:rPr>
        <w:footnoteRef/>
      </w:r>
      <w:r w:rsidRPr="00662AEA">
        <w:rPr>
          <w:sz w:val="22"/>
          <w:szCs w:val="22"/>
        </w:rPr>
        <w:t xml:space="preserve"> 73 P.S. §§ 1648.1 – 1648.8 and 66 Pa.C.S. § 2814.</w:t>
      </w:r>
    </w:p>
  </w:footnote>
  <w:footnote w:id="2">
    <w:p w14:paraId="439FA89A" w14:textId="21784FCC" w:rsidR="00E93395" w:rsidRPr="00662AEA" w:rsidRDefault="00E93395" w:rsidP="00E93395">
      <w:pPr>
        <w:pStyle w:val="FootnoteText"/>
        <w:rPr>
          <w:sz w:val="22"/>
          <w:szCs w:val="22"/>
        </w:rPr>
      </w:pPr>
      <w:r w:rsidRPr="00662AEA">
        <w:rPr>
          <w:rStyle w:val="FootnoteReference"/>
          <w:sz w:val="22"/>
          <w:szCs w:val="22"/>
        </w:rPr>
        <w:footnoteRef/>
      </w:r>
      <w:r w:rsidRPr="00662AEA">
        <w:rPr>
          <w:sz w:val="22"/>
          <w:szCs w:val="22"/>
        </w:rPr>
        <w:t xml:space="preserve"> </w:t>
      </w:r>
      <w:r w:rsidRPr="003F6297">
        <w:rPr>
          <w:i/>
          <w:iCs/>
          <w:sz w:val="22"/>
          <w:szCs w:val="22"/>
        </w:rPr>
        <w:t xml:space="preserve">See </w:t>
      </w:r>
      <w:r w:rsidR="000F601E">
        <w:rPr>
          <w:sz w:val="22"/>
          <w:szCs w:val="22"/>
        </w:rPr>
        <w:t>Final</w:t>
      </w:r>
      <w:r w:rsidRPr="00662AEA">
        <w:rPr>
          <w:sz w:val="22"/>
          <w:szCs w:val="22"/>
        </w:rPr>
        <w:t xml:space="preserve"> Order </w:t>
      </w:r>
      <w:proofErr w:type="gramStart"/>
      <w:r w:rsidRPr="00662AEA">
        <w:rPr>
          <w:sz w:val="22"/>
          <w:szCs w:val="22"/>
        </w:rPr>
        <w:t>entered</w:t>
      </w:r>
      <w:proofErr w:type="gramEnd"/>
      <w:r w:rsidRPr="00662AEA">
        <w:rPr>
          <w:sz w:val="22"/>
          <w:szCs w:val="22"/>
        </w:rPr>
        <w:t xml:space="preserve"> on </w:t>
      </w:r>
      <w:r w:rsidR="00872701">
        <w:rPr>
          <w:sz w:val="22"/>
          <w:szCs w:val="22"/>
        </w:rPr>
        <w:t>March</w:t>
      </w:r>
      <w:r w:rsidRPr="00662AEA">
        <w:rPr>
          <w:sz w:val="22"/>
          <w:szCs w:val="22"/>
        </w:rPr>
        <w:t xml:space="preserve"> 2</w:t>
      </w:r>
      <w:r w:rsidR="00872701">
        <w:rPr>
          <w:sz w:val="22"/>
          <w:szCs w:val="22"/>
        </w:rPr>
        <w:t>9</w:t>
      </w:r>
      <w:r w:rsidRPr="00662AEA">
        <w:rPr>
          <w:sz w:val="22"/>
          <w:szCs w:val="22"/>
        </w:rPr>
        <w:t>, 201</w:t>
      </w:r>
      <w:r w:rsidR="00872701">
        <w:rPr>
          <w:sz w:val="22"/>
          <w:szCs w:val="22"/>
        </w:rPr>
        <w:t>2</w:t>
      </w:r>
      <w:r w:rsidRPr="00662AEA">
        <w:rPr>
          <w:sz w:val="22"/>
          <w:szCs w:val="22"/>
        </w:rPr>
        <w:t>, under the above referenced caption and docket number</w:t>
      </w:r>
      <w:r>
        <w:rPr>
          <w:sz w:val="22"/>
          <w:szCs w:val="22"/>
        </w:rPr>
        <w:t xml:space="preserve"> (</w:t>
      </w:r>
      <w:r w:rsidR="00DA0A05">
        <w:rPr>
          <w:i/>
          <w:sz w:val="22"/>
          <w:szCs w:val="22"/>
        </w:rPr>
        <w:t>Net Metering Policy Order</w:t>
      </w:r>
      <w:r>
        <w:rPr>
          <w:sz w:val="22"/>
          <w:szCs w:val="22"/>
        </w:rPr>
        <w:t>)</w:t>
      </w:r>
      <w:r w:rsidRPr="00662AEA">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0DB"/>
    <w:multiLevelType w:val="hybridMultilevel"/>
    <w:tmpl w:val="E74024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DB7DD6"/>
    <w:multiLevelType w:val="hybridMultilevel"/>
    <w:tmpl w:val="E0641C9E"/>
    <w:lvl w:ilvl="0" w:tplc="AA32C6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DA"/>
    <w:rsid w:val="000004FE"/>
    <w:rsid w:val="00001DE5"/>
    <w:rsid w:val="00003D45"/>
    <w:rsid w:val="00004946"/>
    <w:rsid w:val="000075C8"/>
    <w:rsid w:val="0001322B"/>
    <w:rsid w:val="000160B4"/>
    <w:rsid w:val="00020335"/>
    <w:rsid w:val="00023334"/>
    <w:rsid w:val="0002606A"/>
    <w:rsid w:val="00026342"/>
    <w:rsid w:val="000310F8"/>
    <w:rsid w:val="0003562F"/>
    <w:rsid w:val="00035D5C"/>
    <w:rsid w:val="00040ADB"/>
    <w:rsid w:val="00040E98"/>
    <w:rsid w:val="00043D22"/>
    <w:rsid w:val="00047902"/>
    <w:rsid w:val="00054007"/>
    <w:rsid w:val="00061828"/>
    <w:rsid w:val="00061B8B"/>
    <w:rsid w:val="00062282"/>
    <w:rsid w:val="000659CA"/>
    <w:rsid w:val="00065E53"/>
    <w:rsid w:val="000660C9"/>
    <w:rsid w:val="00070B90"/>
    <w:rsid w:val="00076130"/>
    <w:rsid w:val="00077526"/>
    <w:rsid w:val="00083068"/>
    <w:rsid w:val="00092668"/>
    <w:rsid w:val="00092E86"/>
    <w:rsid w:val="00094239"/>
    <w:rsid w:val="000A0061"/>
    <w:rsid w:val="000A191A"/>
    <w:rsid w:val="000A1BE2"/>
    <w:rsid w:val="000A3FA6"/>
    <w:rsid w:val="000A6173"/>
    <w:rsid w:val="000A70B6"/>
    <w:rsid w:val="000B1060"/>
    <w:rsid w:val="000B41F3"/>
    <w:rsid w:val="000B4C45"/>
    <w:rsid w:val="000B4D10"/>
    <w:rsid w:val="000B66EC"/>
    <w:rsid w:val="000B7473"/>
    <w:rsid w:val="000C0895"/>
    <w:rsid w:val="000C1111"/>
    <w:rsid w:val="000C2B4B"/>
    <w:rsid w:val="000C4F8D"/>
    <w:rsid w:val="000C6073"/>
    <w:rsid w:val="000D0991"/>
    <w:rsid w:val="000D1CCB"/>
    <w:rsid w:val="000D690E"/>
    <w:rsid w:val="000D75FC"/>
    <w:rsid w:val="000E19A1"/>
    <w:rsid w:val="000E229C"/>
    <w:rsid w:val="000E45FE"/>
    <w:rsid w:val="000E54C7"/>
    <w:rsid w:val="000E6451"/>
    <w:rsid w:val="000F54C5"/>
    <w:rsid w:val="000F601E"/>
    <w:rsid w:val="000F6BAE"/>
    <w:rsid w:val="000F7417"/>
    <w:rsid w:val="00101A40"/>
    <w:rsid w:val="00102A17"/>
    <w:rsid w:val="00104C5C"/>
    <w:rsid w:val="00105036"/>
    <w:rsid w:val="00112F1A"/>
    <w:rsid w:val="001169D8"/>
    <w:rsid w:val="00125A23"/>
    <w:rsid w:val="0012784B"/>
    <w:rsid w:val="00133AC3"/>
    <w:rsid w:val="001348CA"/>
    <w:rsid w:val="0013649F"/>
    <w:rsid w:val="0014241E"/>
    <w:rsid w:val="00147C63"/>
    <w:rsid w:val="001552F5"/>
    <w:rsid w:val="00155EAB"/>
    <w:rsid w:val="00160081"/>
    <w:rsid w:val="00163E35"/>
    <w:rsid w:val="0016531A"/>
    <w:rsid w:val="00165F07"/>
    <w:rsid w:val="00166DA5"/>
    <w:rsid w:val="00167A2A"/>
    <w:rsid w:val="001773BC"/>
    <w:rsid w:val="00180A1E"/>
    <w:rsid w:val="00185F52"/>
    <w:rsid w:val="00190A81"/>
    <w:rsid w:val="00194CB2"/>
    <w:rsid w:val="00195681"/>
    <w:rsid w:val="001965DB"/>
    <w:rsid w:val="001A1FE0"/>
    <w:rsid w:val="001A21AB"/>
    <w:rsid w:val="001A29BC"/>
    <w:rsid w:val="001A33EB"/>
    <w:rsid w:val="001A544F"/>
    <w:rsid w:val="001A7F98"/>
    <w:rsid w:val="001B2263"/>
    <w:rsid w:val="001B240D"/>
    <w:rsid w:val="001B3D79"/>
    <w:rsid w:val="001C259E"/>
    <w:rsid w:val="001C3AB8"/>
    <w:rsid w:val="001C4CB0"/>
    <w:rsid w:val="001D0D80"/>
    <w:rsid w:val="001D292B"/>
    <w:rsid w:val="001D60CA"/>
    <w:rsid w:val="001E0072"/>
    <w:rsid w:val="001E228A"/>
    <w:rsid w:val="001E4A60"/>
    <w:rsid w:val="001E5A45"/>
    <w:rsid w:val="001E7C10"/>
    <w:rsid w:val="001F22B7"/>
    <w:rsid w:val="001F2D68"/>
    <w:rsid w:val="001F47A0"/>
    <w:rsid w:val="001F6E4F"/>
    <w:rsid w:val="00201AEE"/>
    <w:rsid w:val="002166AC"/>
    <w:rsid w:val="00217AD0"/>
    <w:rsid w:val="00220DDA"/>
    <w:rsid w:val="002211D3"/>
    <w:rsid w:val="00222620"/>
    <w:rsid w:val="00222E77"/>
    <w:rsid w:val="00225BCA"/>
    <w:rsid w:val="002308EB"/>
    <w:rsid w:val="0023124A"/>
    <w:rsid w:val="00234869"/>
    <w:rsid w:val="00236289"/>
    <w:rsid w:val="00236AE1"/>
    <w:rsid w:val="00237B26"/>
    <w:rsid w:val="00237CFD"/>
    <w:rsid w:val="0024142C"/>
    <w:rsid w:val="00241889"/>
    <w:rsid w:val="00243838"/>
    <w:rsid w:val="00247C85"/>
    <w:rsid w:val="00251A99"/>
    <w:rsid w:val="00253899"/>
    <w:rsid w:val="00253C35"/>
    <w:rsid w:val="00253D6D"/>
    <w:rsid w:val="0025683C"/>
    <w:rsid w:val="00257BE0"/>
    <w:rsid w:val="0026598A"/>
    <w:rsid w:val="00276ED8"/>
    <w:rsid w:val="002803A5"/>
    <w:rsid w:val="0028096F"/>
    <w:rsid w:val="00280A37"/>
    <w:rsid w:val="00280B05"/>
    <w:rsid w:val="00281D26"/>
    <w:rsid w:val="00282702"/>
    <w:rsid w:val="002870D0"/>
    <w:rsid w:val="00287C65"/>
    <w:rsid w:val="002913C7"/>
    <w:rsid w:val="00292C91"/>
    <w:rsid w:val="002931F8"/>
    <w:rsid w:val="00294DBE"/>
    <w:rsid w:val="00297465"/>
    <w:rsid w:val="002977CD"/>
    <w:rsid w:val="002A1171"/>
    <w:rsid w:val="002A12E7"/>
    <w:rsid w:val="002A1993"/>
    <w:rsid w:val="002A4881"/>
    <w:rsid w:val="002A780F"/>
    <w:rsid w:val="002B27AD"/>
    <w:rsid w:val="002B4CDD"/>
    <w:rsid w:val="002B6A35"/>
    <w:rsid w:val="002B7E97"/>
    <w:rsid w:val="002B7ED4"/>
    <w:rsid w:val="002C244A"/>
    <w:rsid w:val="002C5658"/>
    <w:rsid w:val="002D337D"/>
    <w:rsid w:val="002D3AC4"/>
    <w:rsid w:val="002D49A9"/>
    <w:rsid w:val="002D7EBB"/>
    <w:rsid w:val="002E4864"/>
    <w:rsid w:val="002E6585"/>
    <w:rsid w:val="002F4224"/>
    <w:rsid w:val="002F4509"/>
    <w:rsid w:val="002F4F7F"/>
    <w:rsid w:val="002F643B"/>
    <w:rsid w:val="002F6BFB"/>
    <w:rsid w:val="00302187"/>
    <w:rsid w:val="003075CA"/>
    <w:rsid w:val="003116DA"/>
    <w:rsid w:val="003119D6"/>
    <w:rsid w:val="00314CB4"/>
    <w:rsid w:val="003177C8"/>
    <w:rsid w:val="00320F6A"/>
    <w:rsid w:val="00321C2E"/>
    <w:rsid w:val="00321D4E"/>
    <w:rsid w:val="0032211A"/>
    <w:rsid w:val="00323FF3"/>
    <w:rsid w:val="00325748"/>
    <w:rsid w:val="00333634"/>
    <w:rsid w:val="003352F4"/>
    <w:rsid w:val="00343624"/>
    <w:rsid w:val="00343E61"/>
    <w:rsid w:val="00345274"/>
    <w:rsid w:val="00354FF3"/>
    <w:rsid w:val="0036219E"/>
    <w:rsid w:val="00365F35"/>
    <w:rsid w:val="00366BAE"/>
    <w:rsid w:val="003678F8"/>
    <w:rsid w:val="00373A1D"/>
    <w:rsid w:val="003748C1"/>
    <w:rsid w:val="0037651B"/>
    <w:rsid w:val="00385A06"/>
    <w:rsid w:val="00387EA9"/>
    <w:rsid w:val="00390527"/>
    <w:rsid w:val="00390F60"/>
    <w:rsid w:val="00392349"/>
    <w:rsid w:val="00393D5D"/>
    <w:rsid w:val="00395CD0"/>
    <w:rsid w:val="00397150"/>
    <w:rsid w:val="00397DB5"/>
    <w:rsid w:val="003A2735"/>
    <w:rsid w:val="003A6835"/>
    <w:rsid w:val="003B5A12"/>
    <w:rsid w:val="003C261B"/>
    <w:rsid w:val="003C2BEB"/>
    <w:rsid w:val="003C5750"/>
    <w:rsid w:val="003C7D81"/>
    <w:rsid w:val="003D042C"/>
    <w:rsid w:val="003D1F51"/>
    <w:rsid w:val="003D218F"/>
    <w:rsid w:val="003D3737"/>
    <w:rsid w:val="003D5AD6"/>
    <w:rsid w:val="003D6105"/>
    <w:rsid w:val="003E20B0"/>
    <w:rsid w:val="003E2CA9"/>
    <w:rsid w:val="003E378F"/>
    <w:rsid w:val="003E5318"/>
    <w:rsid w:val="003E6873"/>
    <w:rsid w:val="003E7579"/>
    <w:rsid w:val="003F1CE1"/>
    <w:rsid w:val="003F1E55"/>
    <w:rsid w:val="003F2828"/>
    <w:rsid w:val="003F3971"/>
    <w:rsid w:val="003F3BD1"/>
    <w:rsid w:val="003F5670"/>
    <w:rsid w:val="003F6297"/>
    <w:rsid w:val="003F7195"/>
    <w:rsid w:val="003F78B4"/>
    <w:rsid w:val="00401A82"/>
    <w:rsid w:val="004058DF"/>
    <w:rsid w:val="00406215"/>
    <w:rsid w:val="00410D1A"/>
    <w:rsid w:val="00411EA6"/>
    <w:rsid w:val="00413C07"/>
    <w:rsid w:val="0041484E"/>
    <w:rsid w:val="00414C56"/>
    <w:rsid w:val="00416B1D"/>
    <w:rsid w:val="00420840"/>
    <w:rsid w:val="00422B4B"/>
    <w:rsid w:val="00423E64"/>
    <w:rsid w:val="00424246"/>
    <w:rsid w:val="00424E72"/>
    <w:rsid w:val="004269CC"/>
    <w:rsid w:val="00426BCF"/>
    <w:rsid w:val="00426F4F"/>
    <w:rsid w:val="004309BE"/>
    <w:rsid w:val="004331EB"/>
    <w:rsid w:val="004354CE"/>
    <w:rsid w:val="00437886"/>
    <w:rsid w:val="00441327"/>
    <w:rsid w:val="00441E2E"/>
    <w:rsid w:val="00442FB1"/>
    <w:rsid w:val="004462AB"/>
    <w:rsid w:val="004575F3"/>
    <w:rsid w:val="00457D09"/>
    <w:rsid w:val="00462733"/>
    <w:rsid w:val="004635B0"/>
    <w:rsid w:val="00466756"/>
    <w:rsid w:val="004668A0"/>
    <w:rsid w:val="00467180"/>
    <w:rsid w:val="004753D5"/>
    <w:rsid w:val="004778FD"/>
    <w:rsid w:val="004822AB"/>
    <w:rsid w:val="00482DF9"/>
    <w:rsid w:val="00485F78"/>
    <w:rsid w:val="0048653A"/>
    <w:rsid w:val="00491934"/>
    <w:rsid w:val="00492573"/>
    <w:rsid w:val="00492FE8"/>
    <w:rsid w:val="004938A8"/>
    <w:rsid w:val="00494261"/>
    <w:rsid w:val="004960E0"/>
    <w:rsid w:val="00497AB0"/>
    <w:rsid w:val="004A118A"/>
    <w:rsid w:val="004A232F"/>
    <w:rsid w:val="004A3581"/>
    <w:rsid w:val="004A45C1"/>
    <w:rsid w:val="004B0ABB"/>
    <w:rsid w:val="004B1DE8"/>
    <w:rsid w:val="004B25FE"/>
    <w:rsid w:val="004B2814"/>
    <w:rsid w:val="004B69CA"/>
    <w:rsid w:val="004C0A9C"/>
    <w:rsid w:val="004C23F0"/>
    <w:rsid w:val="004C26F4"/>
    <w:rsid w:val="004C2BAA"/>
    <w:rsid w:val="004C7144"/>
    <w:rsid w:val="004D08A6"/>
    <w:rsid w:val="004D2BFC"/>
    <w:rsid w:val="004D78E9"/>
    <w:rsid w:val="004E221E"/>
    <w:rsid w:val="004E32C8"/>
    <w:rsid w:val="004E3ADB"/>
    <w:rsid w:val="004E3DDD"/>
    <w:rsid w:val="004E5C10"/>
    <w:rsid w:val="004E69C8"/>
    <w:rsid w:val="004E7908"/>
    <w:rsid w:val="004F02CD"/>
    <w:rsid w:val="00500326"/>
    <w:rsid w:val="00501070"/>
    <w:rsid w:val="00503283"/>
    <w:rsid w:val="00503929"/>
    <w:rsid w:val="00510B28"/>
    <w:rsid w:val="0051720B"/>
    <w:rsid w:val="005179CF"/>
    <w:rsid w:val="00520344"/>
    <w:rsid w:val="00522424"/>
    <w:rsid w:val="0052329F"/>
    <w:rsid w:val="005249FC"/>
    <w:rsid w:val="005267F3"/>
    <w:rsid w:val="00526F10"/>
    <w:rsid w:val="00527062"/>
    <w:rsid w:val="00533E70"/>
    <w:rsid w:val="00534B0C"/>
    <w:rsid w:val="00537A5C"/>
    <w:rsid w:val="00537FC6"/>
    <w:rsid w:val="0054358F"/>
    <w:rsid w:val="00543E53"/>
    <w:rsid w:val="00544348"/>
    <w:rsid w:val="00545A60"/>
    <w:rsid w:val="005466FF"/>
    <w:rsid w:val="00546DDB"/>
    <w:rsid w:val="00551A0F"/>
    <w:rsid w:val="005526C6"/>
    <w:rsid w:val="00552A3F"/>
    <w:rsid w:val="00553D0F"/>
    <w:rsid w:val="0056101D"/>
    <w:rsid w:val="0056110A"/>
    <w:rsid w:val="00563A1D"/>
    <w:rsid w:val="00566B62"/>
    <w:rsid w:val="00572F28"/>
    <w:rsid w:val="00577560"/>
    <w:rsid w:val="0058092C"/>
    <w:rsid w:val="00591646"/>
    <w:rsid w:val="0059383B"/>
    <w:rsid w:val="00594D6B"/>
    <w:rsid w:val="005A0283"/>
    <w:rsid w:val="005A3448"/>
    <w:rsid w:val="005A5ADF"/>
    <w:rsid w:val="005B354B"/>
    <w:rsid w:val="005B5DB5"/>
    <w:rsid w:val="005C1081"/>
    <w:rsid w:val="005C420E"/>
    <w:rsid w:val="005C4745"/>
    <w:rsid w:val="005C4F3A"/>
    <w:rsid w:val="005C5125"/>
    <w:rsid w:val="005C6341"/>
    <w:rsid w:val="005C6AA9"/>
    <w:rsid w:val="005D0674"/>
    <w:rsid w:val="005D1CEA"/>
    <w:rsid w:val="005D21A8"/>
    <w:rsid w:val="005D383A"/>
    <w:rsid w:val="005D3EC2"/>
    <w:rsid w:val="005D5F34"/>
    <w:rsid w:val="005D5FF1"/>
    <w:rsid w:val="005E1A3A"/>
    <w:rsid w:val="005E5DE6"/>
    <w:rsid w:val="005E6EA3"/>
    <w:rsid w:val="005E7624"/>
    <w:rsid w:val="005F14A9"/>
    <w:rsid w:val="005F39F2"/>
    <w:rsid w:val="005F6967"/>
    <w:rsid w:val="005F6AEA"/>
    <w:rsid w:val="0060190E"/>
    <w:rsid w:val="00603FB5"/>
    <w:rsid w:val="00604BE2"/>
    <w:rsid w:val="00605F73"/>
    <w:rsid w:val="0060769D"/>
    <w:rsid w:val="006114A4"/>
    <w:rsid w:val="00612840"/>
    <w:rsid w:val="00613F8C"/>
    <w:rsid w:val="0061741E"/>
    <w:rsid w:val="00620E59"/>
    <w:rsid w:val="0062207D"/>
    <w:rsid w:val="0062582B"/>
    <w:rsid w:val="00627DA9"/>
    <w:rsid w:val="00630916"/>
    <w:rsid w:val="00630A1A"/>
    <w:rsid w:val="0063597D"/>
    <w:rsid w:val="00637E28"/>
    <w:rsid w:val="00646211"/>
    <w:rsid w:val="00650FAE"/>
    <w:rsid w:val="00651017"/>
    <w:rsid w:val="00651212"/>
    <w:rsid w:val="00651A3B"/>
    <w:rsid w:val="006570FA"/>
    <w:rsid w:val="00657A36"/>
    <w:rsid w:val="0066072E"/>
    <w:rsid w:val="00660CFE"/>
    <w:rsid w:val="006616F3"/>
    <w:rsid w:val="006660D5"/>
    <w:rsid w:val="006663DA"/>
    <w:rsid w:val="006665D0"/>
    <w:rsid w:val="00667315"/>
    <w:rsid w:val="00667C38"/>
    <w:rsid w:val="00667DE8"/>
    <w:rsid w:val="006748D1"/>
    <w:rsid w:val="0067663E"/>
    <w:rsid w:val="0068069C"/>
    <w:rsid w:val="00680754"/>
    <w:rsid w:val="00680A34"/>
    <w:rsid w:val="00690A56"/>
    <w:rsid w:val="00690B5D"/>
    <w:rsid w:val="0069259A"/>
    <w:rsid w:val="006A1A3D"/>
    <w:rsid w:val="006A2DA1"/>
    <w:rsid w:val="006A416D"/>
    <w:rsid w:val="006A5AF4"/>
    <w:rsid w:val="006A5F10"/>
    <w:rsid w:val="006A62FF"/>
    <w:rsid w:val="006B4AC0"/>
    <w:rsid w:val="006B6E13"/>
    <w:rsid w:val="006C48B8"/>
    <w:rsid w:val="006C52FC"/>
    <w:rsid w:val="006C57AB"/>
    <w:rsid w:val="006E71E5"/>
    <w:rsid w:val="006E7F26"/>
    <w:rsid w:val="006E7F56"/>
    <w:rsid w:val="006F09F6"/>
    <w:rsid w:val="006F171C"/>
    <w:rsid w:val="006F4672"/>
    <w:rsid w:val="006F7B11"/>
    <w:rsid w:val="00700595"/>
    <w:rsid w:val="0070114C"/>
    <w:rsid w:val="00701E67"/>
    <w:rsid w:val="00704715"/>
    <w:rsid w:val="00706B1F"/>
    <w:rsid w:val="0071196C"/>
    <w:rsid w:val="007135CB"/>
    <w:rsid w:val="00715664"/>
    <w:rsid w:val="00723E78"/>
    <w:rsid w:val="00725F75"/>
    <w:rsid w:val="007278ED"/>
    <w:rsid w:val="00731496"/>
    <w:rsid w:val="00733684"/>
    <w:rsid w:val="00734740"/>
    <w:rsid w:val="007354DA"/>
    <w:rsid w:val="00735630"/>
    <w:rsid w:val="0074217B"/>
    <w:rsid w:val="00742366"/>
    <w:rsid w:val="00742D36"/>
    <w:rsid w:val="00742FD1"/>
    <w:rsid w:val="007433A5"/>
    <w:rsid w:val="00745269"/>
    <w:rsid w:val="0074713D"/>
    <w:rsid w:val="00753E56"/>
    <w:rsid w:val="007547BA"/>
    <w:rsid w:val="00755755"/>
    <w:rsid w:val="007611BA"/>
    <w:rsid w:val="00762566"/>
    <w:rsid w:val="00763124"/>
    <w:rsid w:val="00766FB5"/>
    <w:rsid w:val="00773ED2"/>
    <w:rsid w:val="00774835"/>
    <w:rsid w:val="00785F7C"/>
    <w:rsid w:val="00787AB6"/>
    <w:rsid w:val="00792F76"/>
    <w:rsid w:val="00793907"/>
    <w:rsid w:val="007A06DD"/>
    <w:rsid w:val="007A2CE3"/>
    <w:rsid w:val="007A3E4E"/>
    <w:rsid w:val="007B09F5"/>
    <w:rsid w:val="007B17E0"/>
    <w:rsid w:val="007B2E33"/>
    <w:rsid w:val="007B689D"/>
    <w:rsid w:val="007C26A9"/>
    <w:rsid w:val="007C2B35"/>
    <w:rsid w:val="007C343A"/>
    <w:rsid w:val="007C4176"/>
    <w:rsid w:val="007C6AE3"/>
    <w:rsid w:val="007C7614"/>
    <w:rsid w:val="007D222E"/>
    <w:rsid w:val="007D6CB0"/>
    <w:rsid w:val="007D6CF4"/>
    <w:rsid w:val="007D769C"/>
    <w:rsid w:val="007D7DAC"/>
    <w:rsid w:val="007E0C9D"/>
    <w:rsid w:val="007E4C1E"/>
    <w:rsid w:val="007E5429"/>
    <w:rsid w:val="007E6F14"/>
    <w:rsid w:val="007F6C20"/>
    <w:rsid w:val="007F6DA7"/>
    <w:rsid w:val="00802CEA"/>
    <w:rsid w:val="00803600"/>
    <w:rsid w:val="00803CEC"/>
    <w:rsid w:val="0080507E"/>
    <w:rsid w:val="0080702E"/>
    <w:rsid w:val="00807C37"/>
    <w:rsid w:val="00811DE2"/>
    <w:rsid w:val="00813B16"/>
    <w:rsid w:val="00813C9F"/>
    <w:rsid w:val="00814F38"/>
    <w:rsid w:val="00815A73"/>
    <w:rsid w:val="00826A2A"/>
    <w:rsid w:val="00827541"/>
    <w:rsid w:val="00827DFF"/>
    <w:rsid w:val="008308E0"/>
    <w:rsid w:val="00836606"/>
    <w:rsid w:val="008368FE"/>
    <w:rsid w:val="00836BE5"/>
    <w:rsid w:val="0084135A"/>
    <w:rsid w:val="00842271"/>
    <w:rsid w:val="00843F68"/>
    <w:rsid w:val="008466E2"/>
    <w:rsid w:val="008525EA"/>
    <w:rsid w:val="0085399C"/>
    <w:rsid w:val="00853F22"/>
    <w:rsid w:val="0085443A"/>
    <w:rsid w:val="00854A8B"/>
    <w:rsid w:val="0085757E"/>
    <w:rsid w:val="00860A24"/>
    <w:rsid w:val="00860CCA"/>
    <w:rsid w:val="00862106"/>
    <w:rsid w:val="0086287D"/>
    <w:rsid w:val="008645D7"/>
    <w:rsid w:val="00867962"/>
    <w:rsid w:val="008711CD"/>
    <w:rsid w:val="00871688"/>
    <w:rsid w:val="008717AE"/>
    <w:rsid w:val="00872701"/>
    <w:rsid w:val="00872CB2"/>
    <w:rsid w:val="00876DFA"/>
    <w:rsid w:val="00877EB3"/>
    <w:rsid w:val="0088327C"/>
    <w:rsid w:val="00885EAA"/>
    <w:rsid w:val="008903D5"/>
    <w:rsid w:val="00890B8A"/>
    <w:rsid w:val="00893C52"/>
    <w:rsid w:val="00893E23"/>
    <w:rsid w:val="00895FA0"/>
    <w:rsid w:val="00896962"/>
    <w:rsid w:val="008A28D1"/>
    <w:rsid w:val="008A4D76"/>
    <w:rsid w:val="008A4EA7"/>
    <w:rsid w:val="008A6E96"/>
    <w:rsid w:val="008A7B30"/>
    <w:rsid w:val="008B1727"/>
    <w:rsid w:val="008B2202"/>
    <w:rsid w:val="008B2291"/>
    <w:rsid w:val="008B6C9C"/>
    <w:rsid w:val="008B7B6A"/>
    <w:rsid w:val="008C23FC"/>
    <w:rsid w:val="008C2D6B"/>
    <w:rsid w:val="008C68B5"/>
    <w:rsid w:val="008C7EA3"/>
    <w:rsid w:val="008D10F5"/>
    <w:rsid w:val="008D2946"/>
    <w:rsid w:val="008D48FB"/>
    <w:rsid w:val="008D4951"/>
    <w:rsid w:val="008D5F6C"/>
    <w:rsid w:val="008D6EF4"/>
    <w:rsid w:val="008E03CA"/>
    <w:rsid w:val="008E0D4C"/>
    <w:rsid w:val="008E1253"/>
    <w:rsid w:val="008E214D"/>
    <w:rsid w:val="008E3694"/>
    <w:rsid w:val="008E488E"/>
    <w:rsid w:val="008F5300"/>
    <w:rsid w:val="008F5C64"/>
    <w:rsid w:val="00900BA2"/>
    <w:rsid w:val="009030B2"/>
    <w:rsid w:val="00903563"/>
    <w:rsid w:val="00911635"/>
    <w:rsid w:val="00913847"/>
    <w:rsid w:val="00913E15"/>
    <w:rsid w:val="009154AD"/>
    <w:rsid w:val="009173F2"/>
    <w:rsid w:val="00924DCC"/>
    <w:rsid w:val="00925D4A"/>
    <w:rsid w:val="00926EBB"/>
    <w:rsid w:val="0092722C"/>
    <w:rsid w:val="009274D6"/>
    <w:rsid w:val="00927F74"/>
    <w:rsid w:val="00930182"/>
    <w:rsid w:val="00933F95"/>
    <w:rsid w:val="009348C7"/>
    <w:rsid w:val="0093510E"/>
    <w:rsid w:val="00943090"/>
    <w:rsid w:val="00945402"/>
    <w:rsid w:val="00947576"/>
    <w:rsid w:val="00954297"/>
    <w:rsid w:val="009554EB"/>
    <w:rsid w:val="009558AC"/>
    <w:rsid w:val="00955C89"/>
    <w:rsid w:val="00960C72"/>
    <w:rsid w:val="009616D6"/>
    <w:rsid w:val="009626EE"/>
    <w:rsid w:val="00967A87"/>
    <w:rsid w:val="009701B8"/>
    <w:rsid w:val="00970EED"/>
    <w:rsid w:val="00971456"/>
    <w:rsid w:val="009731AC"/>
    <w:rsid w:val="0097395C"/>
    <w:rsid w:val="00976534"/>
    <w:rsid w:val="00976B25"/>
    <w:rsid w:val="009776D6"/>
    <w:rsid w:val="00977780"/>
    <w:rsid w:val="009807CA"/>
    <w:rsid w:val="0098735E"/>
    <w:rsid w:val="0099001F"/>
    <w:rsid w:val="009910A3"/>
    <w:rsid w:val="009914E4"/>
    <w:rsid w:val="009A1572"/>
    <w:rsid w:val="009A262E"/>
    <w:rsid w:val="009A33CC"/>
    <w:rsid w:val="009A3753"/>
    <w:rsid w:val="009A45C1"/>
    <w:rsid w:val="009A5E4A"/>
    <w:rsid w:val="009A6B89"/>
    <w:rsid w:val="009B1EE2"/>
    <w:rsid w:val="009B2072"/>
    <w:rsid w:val="009B5945"/>
    <w:rsid w:val="009B5A24"/>
    <w:rsid w:val="009B6D3F"/>
    <w:rsid w:val="009C1CC4"/>
    <w:rsid w:val="009C2BCA"/>
    <w:rsid w:val="009C2C82"/>
    <w:rsid w:val="009C3038"/>
    <w:rsid w:val="009D23A9"/>
    <w:rsid w:val="009D3670"/>
    <w:rsid w:val="009D5A0C"/>
    <w:rsid w:val="009D6094"/>
    <w:rsid w:val="009E3523"/>
    <w:rsid w:val="009E45A3"/>
    <w:rsid w:val="009E7504"/>
    <w:rsid w:val="009F1CB7"/>
    <w:rsid w:val="009F271F"/>
    <w:rsid w:val="009F3C63"/>
    <w:rsid w:val="009F66EC"/>
    <w:rsid w:val="009F78AD"/>
    <w:rsid w:val="00A02DDA"/>
    <w:rsid w:val="00A03368"/>
    <w:rsid w:val="00A06874"/>
    <w:rsid w:val="00A10EED"/>
    <w:rsid w:val="00A1377B"/>
    <w:rsid w:val="00A15B39"/>
    <w:rsid w:val="00A24865"/>
    <w:rsid w:val="00A24DC6"/>
    <w:rsid w:val="00A32A58"/>
    <w:rsid w:val="00A331DE"/>
    <w:rsid w:val="00A33517"/>
    <w:rsid w:val="00A33699"/>
    <w:rsid w:val="00A3437F"/>
    <w:rsid w:val="00A34E82"/>
    <w:rsid w:val="00A3764D"/>
    <w:rsid w:val="00A401F4"/>
    <w:rsid w:val="00A4022F"/>
    <w:rsid w:val="00A41077"/>
    <w:rsid w:val="00A4326E"/>
    <w:rsid w:val="00A46349"/>
    <w:rsid w:val="00A466B0"/>
    <w:rsid w:val="00A46FC2"/>
    <w:rsid w:val="00A476AF"/>
    <w:rsid w:val="00A5163A"/>
    <w:rsid w:val="00A5508E"/>
    <w:rsid w:val="00A55395"/>
    <w:rsid w:val="00A61269"/>
    <w:rsid w:val="00A6211A"/>
    <w:rsid w:val="00A622FF"/>
    <w:rsid w:val="00A6238F"/>
    <w:rsid w:val="00A62A77"/>
    <w:rsid w:val="00A65A1D"/>
    <w:rsid w:val="00A67C5B"/>
    <w:rsid w:val="00A67D68"/>
    <w:rsid w:val="00A72CF5"/>
    <w:rsid w:val="00A74958"/>
    <w:rsid w:val="00A74F68"/>
    <w:rsid w:val="00A762F9"/>
    <w:rsid w:val="00A82ED3"/>
    <w:rsid w:val="00A92122"/>
    <w:rsid w:val="00A942FE"/>
    <w:rsid w:val="00A96F04"/>
    <w:rsid w:val="00AB07D4"/>
    <w:rsid w:val="00AB4385"/>
    <w:rsid w:val="00AC15C2"/>
    <w:rsid w:val="00AC1965"/>
    <w:rsid w:val="00AC20D1"/>
    <w:rsid w:val="00AC3F3E"/>
    <w:rsid w:val="00AC61F5"/>
    <w:rsid w:val="00AC62BC"/>
    <w:rsid w:val="00AC7591"/>
    <w:rsid w:val="00AC7770"/>
    <w:rsid w:val="00AD3798"/>
    <w:rsid w:val="00AD56D8"/>
    <w:rsid w:val="00AD61E7"/>
    <w:rsid w:val="00AD743D"/>
    <w:rsid w:val="00AD7B38"/>
    <w:rsid w:val="00AE1186"/>
    <w:rsid w:val="00AE2EAB"/>
    <w:rsid w:val="00AE5FB7"/>
    <w:rsid w:val="00AE625C"/>
    <w:rsid w:val="00AF0501"/>
    <w:rsid w:val="00AF124E"/>
    <w:rsid w:val="00AF1FA7"/>
    <w:rsid w:val="00AF2083"/>
    <w:rsid w:val="00AF2D95"/>
    <w:rsid w:val="00AF3B4A"/>
    <w:rsid w:val="00AF4373"/>
    <w:rsid w:val="00AF47D5"/>
    <w:rsid w:val="00AF6139"/>
    <w:rsid w:val="00AF6380"/>
    <w:rsid w:val="00AF7130"/>
    <w:rsid w:val="00B04130"/>
    <w:rsid w:val="00B150B1"/>
    <w:rsid w:val="00B15495"/>
    <w:rsid w:val="00B1634E"/>
    <w:rsid w:val="00B16BA2"/>
    <w:rsid w:val="00B2073A"/>
    <w:rsid w:val="00B22634"/>
    <w:rsid w:val="00B22C77"/>
    <w:rsid w:val="00B2539F"/>
    <w:rsid w:val="00B30DD7"/>
    <w:rsid w:val="00B36859"/>
    <w:rsid w:val="00B37A09"/>
    <w:rsid w:val="00B37E27"/>
    <w:rsid w:val="00B41454"/>
    <w:rsid w:val="00B4318B"/>
    <w:rsid w:val="00B43359"/>
    <w:rsid w:val="00B434E6"/>
    <w:rsid w:val="00B43A27"/>
    <w:rsid w:val="00B45721"/>
    <w:rsid w:val="00B46158"/>
    <w:rsid w:val="00B47B7C"/>
    <w:rsid w:val="00B51104"/>
    <w:rsid w:val="00B533D0"/>
    <w:rsid w:val="00B53D08"/>
    <w:rsid w:val="00B61C68"/>
    <w:rsid w:val="00B63AF9"/>
    <w:rsid w:val="00B63F20"/>
    <w:rsid w:val="00B643DF"/>
    <w:rsid w:val="00B7003E"/>
    <w:rsid w:val="00B7032F"/>
    <w:rsid w:val="00B7159E"/>
    <w:rsid w:val="00B732D1"/>
    <w:rsid w:val="00B751FE"/>
    <w:rsid w:val="00B8022C"/>
    <w:rsid w:val="00B82079"/>
    <w:rsid w:val="00B879AD"/>
    <w:rsid w:val="00B90704"/>
    <w:rsid w:val="00B93D5C"/>
    <w:rsid w:val="00B964E4"/>
    <w:rsid w:val="00B97BEA"/>
    <w:rsid w:val="00BA0511"/>
    <w:rsid w:val="00BA0A9F"/>
    <w:rsid w:val="00BA1A55"/>
    <w:rsid w:val="00BA245C"/>
    <w:rsid w:val="00BA4818"/>
    <w:rsid w:val="00BA5BD7"/>
    <w:rsid w:val="00BA5DE3"/>
    <w:rsid w:val="00BA6AC7"/>
    <w:rsid w:val="00BA6BA5"/>
    <w:rsid w:val="00BA6FED"/>
    <w:rsid w:val="00BA7E6F"/>
    <w:rsid w:val="00BB0406"/>
    <w:rsid w:val="00BB0574"/>
    <w:rsid w:val="00BB1AD7"/>
    <w:rsid w:val="00BB2BF4"/>
    <w:rsid w:val="00BB5224"/>
    <w:rsid w:val="00BB5941"/>
    <w:rsid w:val="00BB59FD"/>
    <w:rsid w:val="00BB5B53"/>
    <w:rsid w:val="00BB64AA"/>
    <w:rsid w:val="00BB7C96"/>
    <w:rsid w:val="00BC0F31"/>
    <w:rsid w:val="00BC2E6C"/>
    <w:rsid w:val="00BD08E8"/>
    <w:rsid w:val="00BD2FBE"/>
    <w:rsid w:val="00BD32E7"/>
    <w:rsid w:val="00BD41F0"/>
    <w:rsid w:val="00BD6EB5"/>
    <w:rsid w:val="00BD7010"/>
    <w:rsid w:val="00BE1D3E"/>
    <w:rsid w:val="00BE1D6C"/>
    <w:rsid w:val="00BE3BB0"/>
    <w:rsid w:val="00BE4FE6"/>
    <w:rsid w:val="00BE5BF7"/>
    <w:rsid w:val="00BE6220"/>
    <w:rsid w:val="00BE65D9"/>
    <w:rsid w:val="00BF0BE6"/>
    <w:rsid w:val="00BF0CC4"/>
    <w:rsid w:val="00BF480C"/>
    <w:rsid w:val="00BF53B3"/>
    <w:rsid w:val="00BF58AD"/>
    <w:rsid w:val="00BF7134"/>
    <w:rsid w:val="00C04FAF"/>
    <w:rsid w:val="00C068F9"/>
    <w:rsid w:val="00C11926"/>
    <w:rsid w:val="00C14A5A"/>
    <w:rsid w:val="00C16328"/>
    <w:rsid w:val="00C16C40"/>
    <w:rsid w:val="00C2589E"/>
    <w:rsid w:val="00C317BF"/>
    <w:rsid w:val="00C32C69"/>
    <w:rsid w:val="00C3486E"/>
    <w:rsid w:val="00C402C4"/>
    <w:rsid w:val="00C40E9C"/>
    <w:rsid w:val="00C41446"/>
    <w:rsid w:val="00C4393C"/>
    <w:rsid w:val="00C4438F"/>
    <w:rsid w:val="00C46D91"/>
    <w:rsid w:val="00C47D5E"/>
    <w:rsid w:val="00C50266"/>
    <w:rsid w:val="00C5315E"/>
    <w:rsid w:val="00C57B21"/>
    <w:rsid w:val="00C61167"/>
    <w:rsid w:val="00C62889"/>
    <w:rsid w:val="00C636C9"/>
    <w:rsid w:val="00C64A79"/>
    <w:rsid w:val="00C67083"/>
    <w:rsid w:val="00C72B45"/>
    <w:rsid w:val="00C76887"/>
    <w:rsid w:val="00C76C63"/>
    <w:rsid w:val="00C770B9"/>
    <w:rsid w:val="00C778AF"/>
    <w:rsid w:val="00C904EC"/>
    <w:rsid w:val="00C915FF"/>
    <w:rsid w:val="00C91FFC"/>
    <w:rsid w:val="00C944C2"/>
    <w:rsid w:val="00C94E10"/>
    <w:rsid w:val="00C96257"/>
    <w:rsid w:val="00CA0746"/>
    <w:rsid w:val="00CA339B"/>
    <w:rsid w:val="00CA7802"/>
    <w:rsid w:val="00CB0FB2"/>
    <w:rsid w:val="00CB25B4"/>
    <w:rsid w:val="00CB2BA3"/>
    <w:rsid w:val="00CB4497"/>
    <w:rsid w:val="00CC3C32"/>
    <w:rsid w:val="00CC4FD2"/>
    <w:rsid w:val="00CC5203"/>
    <w:rsid w:val="00CC52DD"/>
    <w:rsid w:val="00CC58D7"/>
    <w:rsid w:val="00CD0046"/>
    <w:rsid w:val="00CE2C68"/>
    <w:rsid w:val="00CE33C3"/>
    <w:rsid w:val="00CE5853"/>
    <w:rsid w:val="00CE6246"/>
    <w:rsid w:val="00CE79F2"/>
    <w:rsid w:val="00CE7F29"/>
    <w:rsid w:val="00CF057E"/>
    <w:rsid w:val="00CF29EE"/>
    <w:rsid w:val="00CF7F23"/>
    <w:rsid w:val="00D01B71"/>
    <w:rsid w:val="00D078C0"/>
    <w:rsid w:val="00D12AF4"/>
    <w:rsid w:val="00D13FAC"/>
    <w:rsid w:val="00D14790"/>
    <w:rsid w:val="00D14C1C"/>
    <w:rsid w:val="00D15B21"/>
    <w:rsid w:val="00D22790"/>
    <w:rsid w:val="00D25539"/>
    <w:rsid w:val="00D30859"/>
    <w:rsid w:val="00D33A1D"/>
    <w:rsid w:val="00D34362"/>
    <w:rsid w:val="00D34875"/>
    <w:rsid w:val="00D3489E"/>
    <w:rsid w:val="00D35BC8"/>
    <w:rsid w:val="00D36D25"/>
    <w:rsid w:val="00D36E6A"/>
    <w:rsid w:val="00D37E0C"/>
    <w:rsid w:val="00D40DBD"/>
    <w:rsid w:val="00D41FD8"/>
    <w:rsid w:val="00D422A9"/>
    <w:rsid w:val="00D51833"/>
    <w:rsid w:val="00D51C87"/>
    <w:rsid w:val="00D51DD5"/>
    <w:rsid w:val="00D554AE"/>
    <w:rsid w:val="00D55D4F"/>
    <w:rsid w:val="00D6130D"/>
    <w:rsid w:val="00D62668"/>
    <w:rsid w:val="00D634AE"/>
    <w:rsid w:val="00D65DF3"/>
    <w:rsid w:val="00D7003B"/>
    <w:rsid w:val="00D76334"/>
    <w:rsid w:val="00D77998"/>
    <w:rsid w:val="00D800D7"/>
    <w:rsid w:val="00D8231B"/>
    <w:rsid w:val="00D82413"/>
    <w:rsid w:val="00D844AA"/>
    <w:rsid w:val="00D85078"/>
    <w:rsid w:val="00D85917"/>
    <w:rsid w:val="00D87379"/>
    <w:rsid w:val="00D90346"/>
    <w:rsid w:val="00D93E73"/>
    <w:rsid w:val="00D96A42"/>
    <w:rsid w:val="00D96B85"/>
    <w:rsid w:val="00DA0A05"/>
    <w:rsid w:val="00DA1D4F"/>
    <w:rsid w:val="00DA1DA9"/>
    <w:rsid w:val="00DA49CF"/>
    <w:rsid w:val="00DA4A0C"/>
    <w:rsid w:val="00DA62D7"/>
    <w:rsid w:val="00DB0196"/>
    <w:rsid w:val="00DB699F"/>
    <w:rsid w:val="00DB7412"/>
    <w:rsid w:val="00DC1901"/>
    <w:rsid w:val="00DC51D2"/>
    <w:rsid w:val="00DC703D"/>
    <w:rsid w:val="00DD0BF6"/>
    <w:rsid w:val="00DD149C"/>
    <w:rsid w:val="00DE3FFE"/>
    <w:rsid w:val="00DE7D93"/>
    <w:rsid w:val="00DF1AA4"/>
    <w:rsid w:val="00DF3517"/>
    <w:rsid w:val="00DF372B"/>
    <w:rsid w:val="00DF6E1E"/>
    <w:rsid w:val="00E0040C"/>
    <w:rsid w:val="00E00D1B"/>
    <w:rsid w:val="00E0398A"/>
    <w:rsid w:val="00E05268"/>
    <w:rsid w:val="00E06CFA"/>
    <w:rsid w:val="00E10622"/>
    <w:rsid w:val="00E109FC"/>
    <w:rsid w:val="00E11696"/>
    <w:rsid w:val="00E15DD1"/>
    <w:rsid w:val="00E20290"/>
    <w:rsid w:val="00E215B7"/>
    <w:rsid w:val="00E25FD4"/>
    <w:rsid w:val="00E3333F"/>
    <w:rsid w:val="00E33E82"/>
    <w:rsid w:val="00E35542"/>
    <w:rsid w:val="00E37259"/>
    <w:rsid w:val="00E41620"/>
    <w:rsid w:val="00E43A45"/>
    <w:rsid w:val="00E44F01"/>
    <w:rsid w:val="00E45E7C"/>
    <w:rsid w:val="00E46B82"/>
    <w:rsid w:val="00E474D5"/>
    <w:rsid w:val="00E50BF0"/>
    <w:rsid w:val="00E5621D"/>
    <w:rsid w:val="00E74310"/>
    <w:rsid w:val="00E80272"/>
    <w:rsid w:val="00E8104C"/>
    <w:rsid w:val="00E816E5"/>
    <w:rsid w:val="00E8575D"/>
    <w:rsid w:val="00E92489"/>
    <w:rsid w:val="00E93395"/>
    <w:rsid w:val="00EA0B94"/>
    <w:rsid w:val="00EA1B6D"/>
    <w:rsid w:val="00EB06E2"/>
    <w:rsid w:val="00EB5ADD"/>
    <w:rsid w:val="00EC1E64"/>
    <w:rsid w:val="00EC2BA5"/>
    <w:rsid w:val="00EC512C"/>
    <w:rsid w:val="00EC5C2E"/>
    <w:rsid w:val="00EC7314"/>
    <w:rsid w:val="00EC7C7E"/>
    <w:rsid w:val="00ED6B73"/>
    <w:rsid w:val="00ED759F"/>
    <w:rsid w:val="00EE0818"/>
    <w:rsid w:val="00EE3B8A"/>
    <w:rsid w:val="00EE441A"/>
    <w:rsid w:val="00EE5D56"/>
    <w:rsid w:val="00EF0F82"/>
    <w:rsid w:val="00EF2E63"/>
    <w:rsid w:val="00EF515D"/>
    <w:rsid w:val="00F02470"/>
    <w:rsid w:val="00F02B80"/>
    <w:rsid w:val="00F10D9E"/>
    <w:rsid w:val="00F217BE"/>
    <w:rsid w:val="00F263AE"/>
    <w:rsid w:val="00F31D77"/>
    <w:rsid w:val="00F322A2"/>
    <w:rsid w:val="00F334AC"/>
    <w:rsid w:val="00F3487A"/>
    <w:rsid w:val="00F36144"/>
    <w:rsid w:val="00F43A7D"/>
    <w:rsid w:val="00F43DDF"/>
    <w:rsid w:val="00F43F47"/>
    <w:rsid w:val="00F44066"/>
    <w:rsid w:val="00F45A60"/>
    <w:rsid w:val="00F46AA1"/>
    <w:rsid w:val="00F46CAA"/>
    <w:rsid w:val="00F478BC"/>
    <w:rsid w:val="00F514D8"/>
    <w:rsid w:val="00F51A25"/>
    <w:rsid w:val="00F520FC"/>
    <w:rsid w:val="00F54ED4"/>
    <w:rsid w:val="00F612BE"/>
    <w:rsid w:val="00F64173"/>
    <w:rsid w:val="00F66331"/>
    <w:rsid w:val="00F67309"/>
    <w:rsid w:val="00F70AA9"/>
    <w:rsid w:val="00F74CF1"/>
    <w:rsid w:val="00F75700"/>
    <w:rsid w:val="00F77295"/>
    <w:rsid w:val="00F773F1"/>
    <w:rsid w:val="00F7749A"/>
    <w:rsid w:val="00F77C28"/>
    <w:rsid w:val="00F77C96"/>
    <w:rsid w:val="00F8247D"/>
    <w:rsid w:val="00F841F8"/>
    <w:rsid w:val="00F865C7"/>
    <w:rsid w:val="00F87307"/>
    <w:rsid w:val="00F969CC"/>
    <w:rsid w:val="00F96F62"/>
    <w:rsid w:val="00F9729A"/>
    <w:rsid w:val="00F97C94"/>
    <w:rsid w:val="00FA7B55"/>
    <w:rsid w:val="00FB1E2E"/>
    <w:rsid w:val="00FB25DA"/>
    <w:rsid w:val="00FB39F8"/>
    <w:rsid w:val="00FB4215"/>
    <w:rsid w:val="00FB4C15"/>
    <w:rsid w:val="00FB5665"/>
    <w:rsid w:val="00FB6320"/>
    <w:rsid w:val="00FC023F"/>
    <w:rsid w:val="00FC1F80"/>
    <w:rsid w:val="00FC42D4"/>
    <w:rsid w:val="00FC4F1F"/>
    <w:rsid w:val="00FC51B7"/>
    <w:rsid w:val="00FC6A03"/>
    <w:rsid w:val="00FC70EC"/>
    <w:rsid w:val="00FD16E6"/>
    <w:rsid w:val="00FD1947"/>
    <w:rsid w:val="00FD3F24"/>
    <w:rsid w:val="00FD4EF8"/>
    <w:rsid w:val="00FD6C86"/>
    <w:rsid w:val="00FE28AB"/>
    <w:rsid w:val="00FE2DF8"/>
    <w:rsid w:val="00FE5419"/>
    <w:rsid w:val="00FF4BE8"/>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539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uiPriority w:val="99"/>
    <w:rsid w:val="007354DA"/>
    <w:pPr>
      <w:tabs>
        <w:tab w:val="center" w:pos="4320"/>
        <w:tab w:val="right" w:pos="8640"/>
      </w:tabs>
    </w:pPr>
  </w:style>
  <w:style w:type="character" w:customStyle="1" w:styleId="FooterChar">
    <w:name w:val="Footer Char"/>
    <w:basedOn w:val="DefaultParagraphFont"/>
    <w:link w:val="Footer"/>
    <w:uiPriority w:val="99"/>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nhideWhenUsed/>
    <w:rsid w:val="00047902"/>
    <w:rPr>
      <w:sz w:val="20"/>
    </w:rPr>
  </w:style>
  <w:style w:type="character" w:customStyle="1" w:styleId="FootnoteTextChar">
    <w:name w:val="Footnote Text Char"/>
    <w:basedOn w:val="DefaultParagraphFont"/>
    <w:link w:val="FootnoteText"/>
    <w:rsid w:val="00047902"/>
    <w:rPr>
      <w:rFonts w:ascii="Times New Roman" w:eastAsia="Times New Roman" w:hAnsi="Times New Roman" w:cs="Times New Roman"/>
      <w:sz w:val="20"/>
      <w:szCs w:val="20"/>
    </w:rPr>
  </w:style>
  <w:style w:type="character" w:styleId="FootnoteReference">
    <w:name w:val="footnote reference"/>
    <w:basedOn w:val="DefaultParagraphFont"/>
    <w:unhideWhenUsed/>
    <w:rsid w:val="00047902"/>
    <w:rPr>
      <w:vertAlign w:val="superscript"/>
    </w:rPr>
  </w:style>
  <w:style w:type="character" w:styleId="CommentReference">
    <w:name w:val="annotation reference"/>
    <w:basedOn w:val="DefaultParagraphFont"/>
    <w:uiPriority w:val="99"/>
    <w:semiHidden/>
    <w:unhideWhenUsed/>
    <w:rsid w:val="0048653A"/>
    <w:rPr>
      <w:sz w:val="16"/>
      <w:szCs w:val="16"/>
    </w:rPr>
  </w:style>
  <w:style w:type="paragraph" w:styleId="CommentText">
    <w:name w:val="annotation text"/>
    <w:basedOn w:val="Normal"/>
    <w:link w:val="CommentTextChar"/>
    <w:uiPriority w:val="99"/>
    <w:semiHidden/>
    <w:unhideWhenUsed/>
    <w:rsid w:val="0048653A"/>
    <w:rPr>
      <w:sz w:val="20"/>
    </w:rPr>
  </w:style>
  <w:style w:type="character" w:customStyle="1" w:styleId="CommentTextChar">
    <w:name w:val="Comment Text Char"/>
    <w:basedOn w:val="DefaultParagraphFont"/>
    <w:link w:val="CommentText"/>
    <w:uiPriority w:val="99"/>
    <w:semiHidden/>
    <w:rsid w:val="00486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53A"/>
    <w:rPr>
      <w:b/>
      <w:bCs/>
    </w:rPr>
  </w:style>
  <w:style w:type="character" w:customStyle="1" w:styleId="CommentSubjectChar">
    <w:name w:val="Comment Subject Char"/>
    <w:basedOn w:val="CommentTextChar"/>
    <w:link w:val="CommentSubject"/>
    <w:uiPriority w:val="99"/>
    <w:semiHidden/>
    <w:rsid w:val="004865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 w:type="paragraph" w:customStyle="1" w:styleId="p5">
    <w:name w:val="p5"/>
    <w:basedOn w:val="Normal"/>
    <w:link w:val="p5Char"/>
    <w:rsid w:val="000C0895"/>
    <w:pPr>
      <w:widowControl w:val="0"/>
      <w:tabs>
        <w:tab w:val="left" w:pos="742"/>
      </w:tabs>
      <w:overflowPunct/>
      <w:ind w:left="698"/>
      <w:textAlignment w:val="auto"/>
    </w:pPr>
    <w:rPr>
      <w:szCs w:val="24"/>
    </w:rPr>
  </w:style>
  <w:style w:type="paragraph" w:customStyle="1" w:styleId="OrderBodyText">
    <w:name w:val="Order Body Text"/>
    <w:basedOn w:val="p5"/>
    <w:link w:val="OrderBodyTextChar"/>
    <w:qFormat/>
    <w:rsid w:val="00AC7770"/>
    <w:pPr>
      <w:tabs>
        <w:tab w:val="clear" w:pos="742"/>
      </w:tabs>
      <w:spacing w:line="360" w:lineRule="auto"/>
      <w:ind w:left="0" w:firstLine="720"/>
    </w:pPr>
    <w:rPr>
      <w:sz w:val="26"/>
      <w:szCs w:val="26"/>
    </w:rPr>
  </w:style>
  <w:style w:type="paragraph" w:customStyle="1" w:styleId="OrderHeadingText">
    <w:name w:val="Order Heading Text"/>
    <w:basedOn w:val="Normal"/>
    <w:link w:val="OrderHeadingTextChar"/>
    <w:qFormat/>
    <w:rsid w:val="00EB5ADD"/>
    <w:pPr>
      <w:spacing w:line="360" w:lineRule="auto"/>
    </w:pPr>
    <w:rPr>
      <w:b/>
      <w:bCs/>
      <w:sz w:val="26"/>
      <w:szCs w:val="26"/>
      <w:u w:val="single"/>
    </w:rPr>
  </w:style>
  <w:style w:type="character" w:customStyle="1" w:styleId="p5Char">
    <w:name w:val="p5 Char"/>
    <w:basedOn w:val="DefaultParagraphFont"/>
    <w:link w:val="p5"/>
    <w:rsid w:val="00AC7770"/>
    <w:rPr>
      <w:rFonts w:ascii="Times New Roman" w:eastAsia="Times New Roman" w:hAnsi="Times New Roman" w:cs="Times New Roman"/>
      <w:sz w:val="24"/>
      <w:szCs w:val="24"/>
    </w:rPr>
  </w:style>
  <w:style w:type="character" w:customStyle="1" w:styleId="OrderBodyTextChar">
    <w:name w:val="Order Body Text Char"/>
    <w:basedOn w:val="p5Char"/>
    <w:link w:val="OrderBodyText"/>
    <w:rsid w:val="00AC7770"/>
    <w:rPr>
      <w:rFonts w:ascii="Times New Roman" w:eastAsia="Times New Roman" w:hAnsi="Times New Roman" w:cs="Times New Roman"/>
      <w:sz w:val="26"/>
      <w:szCs w:val="26"/>
    </w:rPr>
  </w:style>
  <w:style w:type="character" w:customStyle="1" w:styleId="cohl">
    <w:name w:val="co_hl"/>
    <w:basedOn w:val="DefaultParagraphFont"/>
    <w:rsid w:val="00893C52"/>
  </w:style>
  <w:style w:type="character" w:customStyle="1" w:styleId="OrderHeadingTextChar">
    <w:name w:val="Order Heading Text Char"/>
    <w:basedOn w:val="DefaultParagraphFont"/>
    <w:link w:val="OrderHeadingText"/>
    <w:rsid w:val="00EB5ADD"/>
    <w:rPr>
      <w:rFonts w:ascii="Times New Roman" w:eastAsia="Times New Roman" w:hAnsi="Times New Roman" w:cs="Times New Roman"/>
      <w:b/>
      <w:bCs/>
      <w:sz w:val="26"/>
      <w:szCs w:val="26"/>
      <w:u w:val="single"/>
    </w:rPr>
  </w:style>
  <w:style w:type="paragraph" w:customStyle="1" w:styleId="OrderBlockQuote">
    <w:name w:val="Order Block Quote"/>
    <w:basedOn w:val="p5"/>
    <w:link w:val="OrderBlockQuoteChar"/>
    <w:qFormat/>
    <w:rsid w:val="00C2589E"/>
    <w:pPr>
      <w:tabs>
        <w:tab w:val="clear" w:pos="742"/>
      </w:tabs>
      <w:ind w:left="1440" w:right="720"/>
    </w:pPr>
    <w:rPr>
      <w:sz w:val="26"/>
      <w:szCs w:val="26"/>
      <w:shd w:val="clear" w:color="auto" w:fill="FFFFFF"/>
    </w:rPr>
  </w:style>
  <w:style w:type="paragraph" w:customStyle="1" w:styleId="SubHeadingOrder">
    <w:name w:val="SubHeading Order"/>
    <w:basedOn w:val="OrderHeadingText"/>
    <w:link w:val="SubHeadingOrderChar"/>
    <w:qFormat/>
    <w:rsid w:val="009F271F"/>
    <w:pPr>
      <w:ind w:left="720"/>
    </w:pPr>
    <w:rPr>
      <w:b w:val="0"/>
      <w:bCs w:val="0"/>
    </w:rPr>
  </w:style>
  <w:style w:type="character" w:customStyle="1" w:styleId="OrderBlockQuoteChar">
    <w:name w:val="Order Block Quote Char"/>
    <w:basedOn w:val="p5Char"/>
    <w:link w:val="OrderBlockQuote"/>
    <w:rsid w:val="00C2589E"/>
    <w:rPr>
      <w:rFonts w:ascii="Times New Roman" w:eastAsia="Times New Roman" w:hAnsi="Times New Roman" w:cs="Times New Roman"/>
      <w:sz w:val="26"/>
      <w:szCs w:val="26"/>
    </w:rPr>
  </w:style>
  <w:style w:type="character" w:customStyle="1" w:styleId="SubHeadingOrderChar">
    <w:name w:val="SubHeading Order Char"/>
    <w:basedOn w:val="OrderHeadingTextChar"/>
    <w:link w:val="SubHeadingOrder"/>
    <w:rsid w:val="009F271F"/>
    <w:rPr>
      <w:rFonts w:ascii="Times New Roman" w:eastAsia="Times New Roman" w:hAnsi="Times New Roman" w:cs="Times New Roman"/>
      <w:b w:val="0"/>
      <w:bCs w:val="0"/>
      <w:sz w:val="26"/>
      <w:szCs w:val="26"/>
      <w:u w:val="single"/>
    </w:rPr>
  </w:style>
  <w:style w:type="character" w:customStyle="1" w:styleId="Heading1Char">
    <w:name w:val="Heading 1 Char"/>
    <w:basedOn w:val="DefaultParagraphFont"/>
    <w:link w:val="Heading1"/>
    <w:uiPriority w:val="9"/>
    <w:rsid w:val="0085399C"/>
    <w:rPr>
      <w:rFonts w:asciiTheme="majorHAnsi" w:eastAsiaTheme="majorEastAsia" w:hAnsiTheme="majorHAnsi" w:cstheme="majorBidi"/>
      <w:color w:val="365F91" w:themeColor="accent1" w:themeShade="BF"/>
      <w:sz w:val="32"/>
      <w:szCs w:val="32"/>
    </w:rPr>
  </w:style>
  <w:style w:type="paragraph" w:styleId="Index1">
    <w:name w:val="index 1"/>
    <w:basedOn w:val="Normal"/>
    <w:next w:val="Normal"/>
    <w:autoRedefine/>
    <w:uiPriority w:val="99"/>
    <w:semiHidden/>
    <w:unhideWhenUsed/>
    <w:rsid w:val="008A28D1"/>
    <w:pPr>
      <w:ind w:left="240" w:hanging="240"/>
    </w:pPr>
  </w:style>
  <w:style w:type="paragraph" w:styleId="Revision">
    <w:name w:val="Revision"/>
    <w:hidden/>
    <w:uiPriority w:val="99"/>
    <w:semiHidden/>
    <w:rsid w:val="002308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0678144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5703783">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4211332">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609019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48091198">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20773622">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074024">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D4D8-5D6B-4A70-9551-1CD0F500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2022-03-02T20:00:00Z</dcterms:created>
  <dcterms:modified xsi:type="dcterms:W3CDTF">2022-03-02T20:01:00Z</dcterms:modified>
</cp:coreProperties>
</file>